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D2F85">
      <w:pPr>
        <w:widowControl/>
        <w:spacing w:line="600" w:lineRule="exact"/>
        <w:jc w:val="both"/>
        <w:rPr>
          <w:rFonts w:hint="eastAsia" w:ascii="仿宋_GB2312" w:hAnsi="宋体" w:eastAsia="仿宋_GB2312" w:cs="宋体"/>
          <w:kern w:val="0"/>
          <w:sz w:val="32"/>
          <w:szCs w:val="32"/>
        </w:rPr>
      </w:pPr>
      <w:bookmarkStart w:id="0" w:name="_GoBack"/>
      <w:bookmarkEnd w:id="0"/>
    </w:p>
    <w:p w14:paraId="4DD6B695">
      <w:pPr>
        <w:widowControl/>
        <w:spacing w:line="600" w:lineRule="exact"/>
        <w:jc w:val="center"/>
        <w:rPr>
          <w:rFonts w:hint="eastAsia" w:asciiTheme="majorEastAsia" w:hAnsiTheme="majorEastAsia" w:eastAsiaTheme="majorEastAsia" w:cstheme="majorEastAsia"/>
          <w:kern w:val="0"/>
          <w:sz w:val="44"/>
          <w:szCs w:val="44"/>
        </w:rPr>
      </w:pPr>
      <w:r>
        <w:rPr>
          <w:rFonts w:hint="eastAsia" w:asciiTheme="majorEastAsia" w:hAnsiTheme="majorEastAsia" w:eastAsiaTheme="majorEastAsia" w:cstheme="majorEastAsia"/>
          <w:kern w:val="0"/>
          <w:sz w:val="44"/>
          <w:szCs w:val="44"/>
        </w:rPr>
        <w:t>阜新蒙古族自治县人民政府关于</w:t>
      </w:r>
    </w:p>
    <w:p w14:paraId="1C983160">
      <w:pPr>
        <w:widowControl/>
        <w:spacing w:line="600" w:lineRule="exact"/>
        <w:jc w:val="center"/>
        <w:rPr>
          <w:rFonts w:hint="eastAsia" w:asciiTheme="majorEastAsia" w:hAnsiTheme="majorEastAsia" w:eastAsiaTheme="majorEastAsia" w:cstheme="majorEastAsia"/>
          <w:kern w:val="0"/>
          <w:sz w:val="44"/>
          <w:szCs w:val="44"/>
        </w:rPr>
      </w:pPr>
      <w:r>
        <w:rPr>
          <w:rFonts w:hint="eastAsia" w:asciiTheme="majorEastAsia" w:hAnsiTheme="majorEastAsia" w:eastAsiaTheme="majorEastAsia" w:cstheme="majorEastAsia"/>
          <w:kern w:val="0"/>
          <w:sz w:val="44"/>
          <w:szCs w:val="44"/>
        </w:rPr>
        <w:t>印发阜新蒙古族自治县城区棚改房屋</w:t>
      </w:r>
    </w:p>
    <w:p w14:paraId="7302B98F">
      <w:pPr>
        <w:widowControl/>
        <w:spacing w:line="600" w:lineRule="exact"/>
        <w:jc w:val="center"/>
        <w:rPr>
          <w:rFonts w:hint="eastAsia" w:asciiTheme="majorEastAsia" w:hAnsiTheme="majorEastAsia" w:eastAsiaTheme="majorEastAsia" w:cstheme="majorEastAsia"/>
          <w:kern w:val="0"/>
          <w:sz w:val="44"/>
          <w:szCs w:val="44"/>
        </w:rPr>
      </w:pPr>
      <w:r>
        <w:rPr>
          <w:rFonts w:hint="eastAsia" w:asciiTheme="majorEastAsia" w:hAnsiTheme="majorEastAsia" w:eastAsiaTheme="majorEastAsia" w:cstheme="majorEastAsia"/>
          <w:kern w:val="0"/>
          <w:sz w:val="44"/>
          <w:szCs w:val="44"/>
        </w:rPr>
        <w:t>征收补偿安置实施方案的通知</w:t>
      </w:r>
    </w:p>
    <w:p w14:paraId="79A01F42">
      <w:pPr>
        <w:widowControl/>
        <w:spacing w:line="600" w:lineRule="exact"/>
        <w:jc w:val="center"/>
        <w:rPr>
          <w:rFonts w:hint="eastAsia" w:ascii="仿宋_GB2312" w:hAnsi="仿宋_GB2312" w:eastAsia="仿宋_GB2312" w:cs="仿宋_GB2312"/>
          <w:kern w:val="0"/>
          <w:sz w:val="32"/>
          <w:szCs w:val="32"/>
        </w:rPr>
      </w:pPr>
    </w:p>
    <w:p w14:paraId="6FFE6056">
      <w:pPr>
        <w:widowControl/>
        <w:spacing w:line="6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阜蒙政发〔2019〕10号</w:t>
      </w:r>
    </w:p>
    <w:p w14:paraId="3CE36CB5">
      <w:pPr>
        <w:widowControl/>
        <w:spacing w:line="600" w:lineRule="exact"/>
        <w:rPr>
          <w:rFonts w:hint="eastAsia" w:ascii="仿宋_GB2312" w:hAnsi="仿宋_GB2312" w:eastAsia="仿宋_GB2312" w:cs="仿宋_GB2312"/>
          <w:kern w:val="0"/>
          <w:sz w:val="32"/>
          <w:szCs w:val="32"/>
        </w:rPr>
      </w:pPr>
    </w:p>
    <w:p w14:paraId="253AF453">
      <w:pPr>
        <w:widowControl/>
        <w:spacing w:line="6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各乡、镇人民政府，县直各部门，中省直各单位：</w:t>
      </w:r>
    </w:p>
    <w:p w14:paraId="5B56E70A">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《阜新蒙古族自治县城区棚改房屋征收补偿安置实施方案》业经县政府同意，现予印发，请结合实际，认真组织实施。</w:t>
      </w:r>
    </w:p>
    <w:p w14:paraId="149831D6">
      <w:pPr>
        <w:widowControl/>
        <w:spacing w:line="600" w:lineRule="exact"/>
        <w:ind w:firstLine="640" w:firstLineChars="200"/>
        <w:rPr>
          <w:rFonts w:hint="eastAsia" w:ascii="仿宋_GB2312" w:hAnsi="仿宋_GB2312" w:eastAsia="仿宋_GB2312" w:cs="仿宋_GB2312"/>
          <w:kern w:val="0"/>
          <w:sz w:val="32"/>
          <w:szCs w:val="32"/>
        </w:rPr>
      </w:pPr>
    </w:p>
    <w:p w14:paraId="0945FDB0">
      <w:pPr>
        <w:widowControl/>
        <w:spacing w:line="600" w:lineRule="exact"/>
        <w:ind w:firstLine="640" w:firstLineChars="200"/>
        <w:rPr>
          <w:rFonts w:hint="eastAsia" w:ascii="仿宋_GB2312" w:hAnsi="仿宋_GB2312" w:eastAsia="仿宋_GB2312" w:cs="仿宋_GB2312"/>
          <w:kern w:val="0"/>
          <w:sz w:val="32"/>
          <w:szCs w:val="32"/>
        </w:rPr>
      </w:pPr>
    </w:p>
    <w:p w14:paraId="5F32F6A5">
      <w:pPr>
        <w:widowControl/>
        <w:spacing w:line="600" w:lineRule="exact"/>
        <w:ind w:firstLine="3360" w:firstLineChars="1050"/>
        <w:jc w:val="righ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阜新蒙古族自治县人民政府</w:t>
      </w:r>
    </w:p>
    <w:p w14:paraId="57B2503F">
      <w:pPr>
        <w:widowControl/>
        <w:spacing w:line="600" w:lineRule="exact"/>
        <w:ind w:firstLine="4000" w:firstLineChars="1250"/>
        <w:jc w:val="righ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2019年5月24日</w:t>
      </w:r>
    </w:p>
    <w:p w14:paraId="03E3466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（此件公开发布） </w:t>
      </w:r>
    </w:p>
    <w:p w14:paraId="33593F68">
      <w:pPr>
        <w:widowControl/>
        <w:spacing w:line="600" w:lineRule="exact"/>
        <w:ind w:firstLine="4480" w:firstLineChars="1400"/>
        <w:rPr>
          <w:rFonts w:hint="eastAsia" w:ascii="仿宋_GB2312" w:hAnsi="仿宋_GB2312" w:eastAsia="仿宋_GB2312" w:cs="仿宋_GB2312"/>
          <w:kern w:val="0"/>
          <w:sz w:val="32"/>
          <w:szCs w:val="32"/>
        </w:rPr>
      </w:pPr>
    </w:p>
    <w:p w14:paraId="72477C6E">
      <w:pPr>
        <w:widowControl/>
        <w:spacing w:line="600" w:lineRule="exact"/>
        <w:ind w:firstLine="4480" w:firstLineChars="1400"/>
        <w:rPr>
          <w:rFonts w:hint="eastAsia" w:ascii="仿宋_GB2312" w:hAnsi="仿宋_GB2312" w:eastAsia="仿宋_GB2312" w:cs="仿宋_GB2312"/>
          <w:kern w:val="0"/>
          <w:sz w:val="32"/>
          <w:szCs w:val="32"/>
        </w:rPr>
      </w:pPr>
    </w:p>
    <w:p w14:paraId="09ACF845">
      <w:pPr>
        <w:widowControl/>
        <w:spacing w:line="600" w:lineRule="exact"/>
        <w:ind w:firstLine="4480" w:firstLineChars="1400"/>
        <w:rPr>
          <w:rFonts w:hint="eastAsia" w:ascii="仿宋_GB2312" w:hAnsi="仿宋_GB2312" w:eastAsia="仿宋_GB2312" w:cs="仿宋_GB2312"/>
          <w:kern w:val="0"/>
          <w:sz w:val="32"/>
          <w:szCs w:val="32"/>
        </w:rPr>
      </w:pPr>
    </w:p>
    <w:p w14:paraId="0ECAD187">
      <w:pPr>
        <w:widowControl/>
        <w:spacing w:line="600" w:lineRule="exact"/>
        <w:ind w:firstLine="4480" w:firstLineChars="1400"/>
        <w:rPr>
          <w:rFonts w:hint="eastAsia" w:ascii="仿宋_GB2312" w:hAnsi="仿宋_GB2312" w:eastAsia="仿宋_GB2312" w:cs="仿宋_GB2312"/>
          <w:kern w:val="0"/>
          <w:sz w:val="32"/>
          <w:szCs w:val="32"/>
        </w:rPr>
      </w:pPr>
    </w:p>
    <w:p w14:paraId="34F0BE91">
      <w:pPr>
        <w:widowControl/>
        <w:spacing w:line="600" w:lineRule="exact"/>
        <w:ind w:firstLine="4480" w:firstLineChars="1400"/>
        <w:rPr>
          <w:rFonts w:hint="eastAsia" w:ascii="黑体" w:hAnsi="黑体" w:eastAsia="黑体" w:cs="黑体"/>
          <w:kern w:val="0"/>
          <w:sz w:val="32"/>
          <w:szCs w:val="32"/>
        </w:rPr>
      </w:pPr>
    </w:p>
    <w:p w14:paraId="34FB5B2F">
      <w:pPr>
        <w:widowControl/>
        <w:spacing w:line="600" w:lineRule="exact"/>
        <w:jc w:val="center"/>
        <w:rPr>
          <w:rFonts w:hint="eastAsia" w:ascii="黑体" w:hAnsi="黑体" w:eastAsia="黑体" w:cs="黑体"/>
          <w:kern w:val="0"/>
          <w:sz w:val="32"/>
          <w:szCs w:val="32"/>
        </w:rPr>
      </w:pPr>
      <w:r>
        <w:rPr>
          <w:rFonts w:hint="eastAsia" w:ascii="黑体" w:hAnsi="黑体" w:eastAsia="黑体" w:cs="黑体"/>
          <w:kern w:val="0"/>
          <w:sz w:val="32"/>
          <w:szCs w:val="32"/>
        </w:rPr>
        <w:t>阜新蒙古族自治县城区棚改房屋征收</w:t>
      </w:r>
    </w:p>
    <w:p w14:paraId="3A4A199B">
      <w:pPr>
        <w:widowControl/>
        <w:spacing w:line="600" w:lineRule="exact"/>
        <w:jc w:val="center"/>
        <w:rPr>
          <w:rFonts w:hint="eastAsia" w:ascii="黑体" w:hAnsi="黑体" w:eastAsia="黑体" w:cs="黑体"/>
          <w:kern w:val="0"/>
          <w:sz w:val="32"/>
          <w:szCs w:val="32"/>
        </w:rPr>
      </w:pPr>
      <w:r>
        <w:rPr>
          <w:rFonts w:hint="eastAsia" w:ascii="黑体" w:hAnsi="黑体" w:eastAsia="黑体" w:cs="黑体"/>
          <w:kern w:val="0"/>
          <w:sz w:val="32"/>
          <w:szCs w:val="32"/>
        </w:rPr>
        <w:t>补偿安置实施方案</w:t>
      </w:r>
    </w:p>
    <w:p w14:paraId="77913BCB">
      <w:pPr>
        <w:widowControl/>
        <w:spacing w:line="600" w:lineRule="exact"/>
        <w:ind w:firstLine="640" w:firstLineChars="200"/>
        <w:rPr>
          <w:rFonts w:hint="eastAsia" w:ascii="黑体" w:hAnsi="黑体" w:eastAsia="黑体" w:cs="黑体"/>
          <w:kern w:val="0"/>
          <w:sz w:val="32"/>
          <w:szCs w:val="32"/>
        </w:rPr>
      </w:pPr>
    </w:p>
    <w:p w14:paraId="74A07C91">
      <w:pPr>
        <w:widowControl/>
        <w:spacing w:line="6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仿宋_GB2312" w:hAnsi="仿宋_GB2312" w:eastAsia="仿宋_GB2312" w:cs="仿宋_GB2312"/>
          <w:kern w:val="0"/>
          <w:sz w:val="32"/>
          <w:szCs w:val="32"/>
        </w:rPr>
        <w:t>为顺利推进我县城区棚改工作，规范房屋征收工作秩序，保障被征收人合法权益，有效维护公共利益，根据《国有土地上房屋征收与补偿条例》（国务院令第590号）规定，结合我县实际，制定本方案。</w:t>
      </w:r>
    </w:p>
    <w:p w14:paraId="0BFE4A65">
      <w:pPr>
        <w:widowControl/>
        <w:spacing w:line="6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黑体" w:hAnsi="黑体" w:eastAsia="黑体" w:cs="黑体"/>
          <w:kern w:val="0"/>
          <w:sz w:val="32"/>
          <w:szCs w:val="32"/>
        </w:rPr>
        <w:t>一、补偿安置方式及回迁地点</w:t>
      </w:r>
    </w:p>
    <w:p w14:paraId="01B7AF86">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被征收人可以选择货币补偿或住宅房屋产权调换安置(以下简称“回迁”)。</w:t>
      </w:r>
    </w:p>
    <w:p w14:paraId="373EA538">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安置地点:政府采购现房或已开工楼房回迁安置。</w:t>
      </w:r>
    </w:p>
    <w:p w14:paraId="1A993E02">
      <w:pPr>
        <w:widowControl/>
        <w:spacing w:line="6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黑体" w:hAnsi="黑体" w:eastAsia="黑体" w:cs="黑体"/>
          <w:kern w:val="0"/>
          <w:sz w:val="32"/>
          <w:szCs w:val="32"/>
        </w:rPr>
        <w:t>二、被征收房屋价值的确定</w:t>
      </w:r>
    </w:p>
    <w:p w14:paraId="42A3EE20">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由具有相应资质的房地产价格评估机构,按照房屋征收评估办法评估确定。</w:t>
      </w:r>
    </w:p>
    <w:p w14:paraId="7030715D">
      <w:pPr>
        <w:widowControl/>
        <w:spacing w:line="600" w:lineRule="exact"/>
        <w:ind w:firstLine="656" w:firstLineChars="200"/>
        <w:rPr>
          <w:rFonts w:hint="eastAsia" w:ascii="仿宋_GB2312" w:hAnsi="仿宋_GB2312" w:eastAsia="仿宋_GB2312" w:cs="仿宋_GB2312"/>
          <w:spacing w:val="4"/>
          <w:kern w:val="0"/>
          <w:sz w:val="32"/>
          <w:szCs w:val="32"/>
        </w:rPr>
      </w:pPr>
      <w:r>
        <w:rPr>
          <w:rFonts w:hint="eastAsia" w:ascii="仿宋_GB2312" w:hAnsi="仿宋_GB2312" w:eastAsia="仿宋_GB2312" w:cs="仿宋_GB2312"/>
          <w:spacing w:val="4"/>
          <w:kern w:val="0"/>
          <w:sz w:val="32"/>
          <w:szCs w:val="32"/>
        </w:rPr>
        <w:t>主房(合法建筑)室内装饰装修补偿价格按照房屋征收评估办法评估确定。</w:t>
      </w:r>
    </w:p>
    <w:p w14:paraId="5142F1E0">
      <w:pPr>
        <w:widowControl/>
        <w:spacing w:line="600" w:lineRule="exact"/>
        <w:ind w:firstLine="632" w:firstLineChars="200"/>
        <w:rPr>
          <w:rFonts w:hint="eastAsia" w:ascii="仿宋_GB2312" w:hAnsi="仿宋_GB2312" w:eastAsia="仿宋_GB2312" w:cs="仿宋_GB2312"/>
          <w:spacing w:val="4"/>
          <w:kern w:val="0"/>
          <w:sz w:val="32"/>
          <w:szCs w:val="32"/>
        </w:rPr>
      </w:pPr>
      <w:r>
        <w:rPr>
          <w:rFonts w:hint="eastAsia" w:ascii="仿宋_GB2312" w:hAnsi="仿宋_GB2312" w:eastAsia="仿宋_GB2312" w:cs="仿宋_GB2312"/>
          <w:spacing w:val="-2"/>
          <w:kern w:val="0"/>
          <w:sz w:val="32"/>
          <w:szCs w:val="32"/>
        </w:rPr>
        <w:t>附属房屋(临时建筑)、简易棚的补助价格,结合实际评估确定。</w:t>
      </w:r>
      <w:r>
        <w:rPr>
          <w:rFonts w:hint="eastAsia" w:ascii="仿宋_GB2312" w:hAnsi="仿宋_GB2312" w:eastAsia="仿宋_GB2312" w:cs="仿宋_GB2312"/>
          <w:kern w:val="0"/>
          <w:sz w:val="32"/>
          <w:szCs w:val="32"/>
        </w:rPr>
        <w:t>附属物按市场指导价格给予补助(见附件1)。</w:t>
      </w:r>
    </w:p>
    <w:p w14:paraId="598EEE37">
      <w:pPr>
        <w:widowControl/>
        <w:spacing w:line="600" w:lineRule="exact"/>
        <w:ind w:firstLine="632" w:firstLineChars="200"/>
        <w:rPr>
          <w:rFonts w:hint="eastAsia" w:ascii="仿宋_GB2312" w:hAnsi="仿宋_GB2312" w:eastAsia="仿宋_GB2312" w:cs="仿宋_GB2312"/>
          <w:spacing w:val="-2"/>
          <w:kern w:val="0"/>
          <w:sz w:val="32"/>
          <w:szCs w:val="32"/>
        </w:rPr>
      </w:pPr>
      <w:r>
        <w:rPr>
          <w:rFonts w:hint="eastAsia" w:ascii="仿宋_GB2312" w:hAnsi="仿宋_GB2312" w:eastAsia="仿宋_GB2312" w:cs="仿宋_GB2312"/>
          <w:spacing w:val="-2"/>
          <w:kern w:val="0"/>
          <w:sz w:val="32"/>
          <w:szCs w:val="32"/>
        </w:rPr>
        <w:t>老旧楼房因生活需要形成的必要附属设施，结合实际予以合理补偿。</w:t>
      </w:r>
    </w:p>
    <w:p w14:paraId="5DB32687">
      <w:pPr>
        <w:widowControl/>
        <w:spacing w:line="6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黑体" w:hAnsi="黑体" w:eastAsia="黑体" w:cs="黑体"/>
          <w:kern w:val="0"/>
          <w:sz w:val="32"/>
          <w:szCs w:val="32"/>
        </w:rPr>
        <w:t>三、住宅、住改营回迁</w:t>
      </w:r>
    </w:p>
    <w:p w14:paraId="11960C76">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（一）住宅房屋以《房屋所有权证》为单位,按《房屋所有权证》记载的建筑面积无差价回迁。</w:t>
      </w:r>
    </w:p>
    <w:p w14:paraId="7AA37F6C">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平房《房屋所有权证》记载的建筑面积小于52平方米，可回迁到52平方米（实际面积大于52平方米，不享受回迁到52平方米）。合理增加面积部分，电梯楼房每平方米支付代建费1400元，非电梯楼房每平方米支付代建费1000元。自行增加面积部分由被征收人按市场价自行购买。</w:t>
      </w:r>
    </w:p>
    <w:p w14:paraId="16B626C8">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（三）符合住改营条件的住宅房屋,经专项工作组认定后, 回迁住宅，按同类房屋找差价。</w:t>
      </w:r>
    </w:p>
    <w:p w14:paraId="520F1FEF">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（四）住宅、住改营回迁少于《房屋所有权证》记载的建筑面积部分，按评估价格补偿。大于《房屋所有权证》记载的建筑面积部分（自行增加面积），按市场价自行购买。</w:t>
      </w:r>
    </w:p>
    <w:p w14:paraId="1E7292DE">
      <w:pPr>
        <w:widowControl/>
        <w:spacing w:line="6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黑体" w:hAnsi="黑体" w:eastAsia="黑体" w:cs="黑体"/>
          <w:kern w:val="0"/>
          <w:sz w:val="32"/>
          <w:szCs w:val="32"/>
        </w:rPr>
        <w:t>四、附属安置房屋认定和补偿</w:t>
      </w:r>
    </w:p>
    <w:p w14:paraId="03743E40">
      <w:pPr>
        <w:widowControl/>
        <w:spacing w:line="600" w:lineRule="exact"/>
        <w:ind w:firstLine="616"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pacing w:val="-6"/>
          <w:kern w:val="0"/>
          <w:sz w:val="32"/>
          <w:szCs w:val="32"/>
        </w:rPr>
        <w:t>被征收人符合下列条件,可申请回迁住宅建筑面积42平方米。</w:t>
      </w:r>
    </w:p>
    <w:p w14:paraId="7AC1E93B">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（一）附属房屋在土地使用权范围内建设,具备居住条件并正在居住;</w:t>
      </w:r>
    </w:p>
    <w:p w14:paraId="6E5DFB66">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（二）居住人均为本征收区域内户口五年以上;</w:t>
      </w:r>
    </w:p>
    <w:p w14:paraId="21536E56">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（三）附属房屋居住人与主房房屋产权人为父母和已婚子女关系,已婚子女和父母正在居住且满五年以上;</w:t>
      </w:r>
    </w:p>
    <w:p w14:paraId="45AB90A9">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（四）主房、附属房屋居住人外出务工的应提供暂住证,居住地不动产登记部门、工作单位和社区出具住房证明;</w:t>
      </w:r>
    </w:p>
    <w:p w14:paraId="6A50F414">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（五）主房、附属房屋居住人口在4人(含4人)以上,并按《房屋所有权证》记载建筑面积人均不足15平方米的;</w:t>
      </w:r>
    </w:p>
    <w:p w14:paraId="371BBD8C">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（六）主房、附属房屋居住人无其他住房，且住房仅用作住宅使用。</w:t>
      </w:r>
    </w:p>
    <w:p w14:paraId="3FED1C29">
      <w:pPr>
        <w:widowControl/>
        <w:spacing w:line="6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仿宋_GB2312" w:hAnsi="仿宋_GB2312" w:eastAsia="仿宋_GB2312" w:cs="仿宋_GB2312"/>
          <w:kern w:val="0"/>
          <w:sz w:val="32"/>
          <w:szCs w:val="32"/>
        </w:rPr>
        <w:t>回迁42平方米支付部分代建费，电梯楼房每平方米支付代建费1600元，非电梯楼房每平方米支付代建费1200元。</w:t>
      </w:r>
    </w:p>
    <w:p w14:paraId="21DFADB9">
      <w:pPr>
        <w:widowControl/>
        <w:spacing w:line="6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仿宋_GB2312" w:hAnsi="仿宋_GB2312" w:eastAsia="仿宋_GB2312" w:cs="仿宋_GB2312"/>
          <w:kern w:val="0"/>
          <w:sz w:val="32"/>
          <w:szCs w:val="32"/>
        </w:rPr>
        <w:t>选择货币补偿的,附属房屋小于42平方米,按42平方米计算,附属房屋评估价格每平方米增加1000元补助,超出42平方米部分按评估价格补助。</w:t>
      </w:r>
    </w:p>
    <w:p w14:paraId="518A15F9">
      <w:pPr>
        <w:widowControl/>
        <w:spacing w:line="6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黑体" w:hAnsi="黑体" w:eastAsia="黑体" w:cs="黑体"/>
          <w:kern w:val="0"/>
          <w:sz w:val="32"/>
          <w:szCs w:val="32"/>
        </w:rPr>
        <w:t>五、临时安置、搬家补助费</w:t>
      </w:r>
    </w:p>
    <w:p w14:paraId="784A26E9">
      <w:pPr>
        <w:widowControl/>
        <w:spacing w:line="6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仿宋_GB2312" w:hAnsi="仿宋_GB2312" w:eastAsia="仿宋_GB2312" w:cs="仿宋_GB2312"/>
          <w:kern w:val="0"/>
          <w:sz w:val="32"/>
          <w:szCs w:val="32"/>
        </w:rPr>
        <w:t>（一）住宅房屋选择现楼回迁安置的，临时安置补助费按本征收区域《户口本》为单位，每户每月300元，支付6个月。选择已开工楼房回迁安置的，支付12个月。</w:t>
      </w:r>
    </w:p>
    <w:p w14:paraId="71C97796">
      <w:pPr>
        <w:widowControl/>
        <w:spacing w:line="6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仿宋_GB2312" w:hAnsi="仿宋_GB2312" w:eastAsia="仿宋_GB2312" w:cs="仿宋_GB2312"/>
          <w:kern w:val="0"/>
          <w:sz w:val="32"/>
          <w:szCs w:val="32"/>
        </w:rPr>
        <w:t>选择货币补偿的,按评估价格补偿,支付3个月临时安置补助费。</w:t>
      </w:r>
    </w:p>
    <w:p w14:paraId="5D9D0F68">
      <w:pPr>
        <w:widowControl/>
        <w:spacing w:line="6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仿宋_GB2312" w:hAnsi="仿宋_GB2312" w:eastAsia="仿宋_GB2312" w:cs="仿宋_GB2312"/>
          <w:spacing w:val="-6"/>
          <w:kern w:val="0"/>
          <w:sz w:val="32"/>
          <w:szCs w:val="32"/>
        </w:rPr>
        <w:t>搬家补助费,以《户口本》为单位,每户800元。</w:t>
      </w:r>
    </w:p>
    <w:p w14:paraId="08337FF6">
      <w:pPr>
        <w:widowControl/>
        <w:spacing w:line="6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仿宋_GB2312" w:hAnsi="仿宋_GB2312" w:eastAsia="仿宋_GB2312" w:cs="仿宋_GB2312"/>
          <w:kern w:val="0"/>
          <w:sz w:val="32"/>
          <w:szCs w:val="32"/>
        </w:rPr>
        <w:t>（二）住改营房屋选择回迁住宅安置的，选择现楼的，临时安置补助费按《房屋所有权证》记载的建筑面积乘以20元乘以6个月支付。选择已开工楼房的，支付12个月。</w:t>
      </w:r>
    </w:p>
    <w:p w14:paraId="32F35823">
      <w:pPr>
        <w:widowControl/>
        <w:spacing w:line="6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仿宋_GB2312" w:hAnsi="仿宋_GB2312" w:eastAsia="仿宋_GB2312" w:cs="仿宋_GB2312"/>
          <w:kern w:val="0"/>
          <w:sz w:val="32"/>
          <w:szCs w:val="32"/>
        </w:rPr>
        <w:t>选择货币补偿的，按评估价格补偿，支付3个月临时安置补助费。</w:t>
      </w:r>
    </w:p>
    <w:p w14:paraId="57CEDF08">
      <w:pPr>
        <w:widowControl/>
        <w:spacing w:line="6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仿宋_GB2312" w:hAnsi="仿宋_GB2312" w:eastAsia="仿宋_GB2312" w:cs="仿宋_GB2312"/>
          <w:spacing w:val="-6"/>
          <w:kern w:val="0"/>
          <w:sz w:val="32"/>
          <w:szCs w:val="32"/>
        </w:rPr>
        <w:t>搬家补助费,以《户口本》为单位,每户1600元。</w:t>
      </w:r>
    </w:p>
    <w:p w14:paraId="222FAE52">
      <w:pPr>
        <w:widowControl/>
        <w:spacing w:line="6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黑体" w:hAnsi="黑体" w:eastAsia="黑体" w:cs="黑体"/>
          <w:kern w:val="0"/>
          <w:sz w:val="32"/>
          <w:szCs w:val="32"/>
        </w:rPr>
        <w:t>六、住宅房屋用于营业的认定</w:t>
      </w:r>
    </w:p>
    <w:p w14:paraId="63DB0006">
      <w:pPr>
        <w:widowControl/>
        <w:spacing w:line="6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仿宋_GB2312" w:hAnsi="仿宋_GB2312" w:eastAsia="仿宋_GB2312" w:cs="仿宋_GB2312"/>
          <w:spacing w:val="-8"/>
          <w:kern w:val="0"/>
          <w:sz w:val="32"/>
          <w:szCs w:val="32"/>
        </w:rPr>
        <w:t>住宅房屋用于营业房屋是指在城区市政规划街、路临街的房屋。楼房1层以上不予认定。</w:t>
      </w:r>
    </w:p>
    <w:p w14:paraId="05A03249">
      <w:pPr>
        <w:widowControl/>
        <w:spacing w:line="6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仿宋_GB2312" w:hAnsi="仿宋_GB2312" w:eastAsia="仿宋_GB2312" w:cs="仿宋_GB2312"/>
          <w:kern w:val="0"/>
          <w:sz w:val="32"/>
          <w:szCs w:val="32"/>
        </w:rPr>
        <w:t>城区市政规划街、路(见附件2)。</w:t>
      </w:r>
    </w:p>
    <w:p w14:paraId="7DD8589F">
      <w:pPr>
        <w:widowControl/>
        <w:spacing w:line="6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仿宋_GB2312" w:hAnsi="仿宋_GB2312" w:eastAsia="仿宋_GB2312" w:cs="仿宋_GB2312"/>
          <w:kern w:val="0"/>
          <w:sz w:val="32"/>
          <w:szCs w:val="32"/>
        </w:rPr>
        <w:t>被征收房屋原则上按照《房屋所有权证》记载的用途确定。对城区市政规划街、路临街住宅房屋从事经营的,并且持有合法《房屋所有权证》、《营业执照》、《税务登记》，《营业执照》、《税务登记》与房屋座落地址一致,经营满一年以上,且正在营业的可按高于住宅房屋,低于营业房屋结合实际评估确定;附属房屋营业的,按主房营业增值因素给予补偿,附属房屋按评估价格补助。</w:t>
      </w:r>
    </w:p>
    <w:p w14:paraId="74A65703">
      <w:pPr>
        <w:widowControl/>
        <w:spacing w:line="6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黑体" w:hAnsi="黑体" w:eastAsia="黑体" w:cs="黑体"/>
          <w:kern w:val="0"/>
          <w:sz w:val="32"/>
          <w:szCs w:val="32"/>
        </w:rPr>
        <w:t>七、住宅房屋用于营业房屋停产停业补偿(含回迁)</w:t>
      </w:r>
    </w:p>
    <w:p w14:paraId="6E88416E">
      <w:pPr>
        <w:widowControl/>
        <w:spacing w:line="6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仿宋_GB2312" w:hAnsi="仿宋_GB2312" w:eastAsia="仿宋_GB2312" w:cs="仿宋_GB2312"/>
          <w:kern w:val="0"/>
          <w:sz w:val="32"/>
          <w:szCs w:val="32"/>
        </w:rPr>
        <w:t>因房屋征收造成被征收人停产停业损失的,按《房屋所有权证》记载的建筑面积每平方米每月补偿40元,补偿期限6个月,有异议的可申请旧城区改建房屋征收营业房屋停产停业损失认定工作组认定。</w:t>
      </w:r>
    </w:p>
    <w:p w14:paraId="33B7722E">
      <w:pPr>
        <w:widowControl/>
        <w:spacing w:line="6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仿宋_GB2312" w:hAnsi="仿宋_GB2312" w:eastAsia="仿宋_GB2312" w:cs="仿宋_GB2312"/>
          <w:kern w:val="0"/>
          <w:sz w:val="32"/>
          <w:szCs w:val="32"/>
        </w:rPr>
        <w:t>非城区市政规划街、路临街经营的住宅房屋,经营满一年以上并正在经营的,手续齐全符合规定,停产停业损失补偿按《房屋所有权证》记载的建筑面积每平方米补助20元,补偿期限为6个月。</w:t>
      </w:r>
    </w:p>
    <w:p w14:paraId="47FB7BAB">
      <w:pPr>
        <w:widowControl/>
        <w:spacing w:line="600" w:lineRule="exact"/>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rPr>
        <w:t>八、《房屋所有权证》记载的建筑面积小于实际面积,由专业部门测量确定,大于建筑面积部分,计入回迁面积。</w:t>
      </w:r>
    </w:p>
    <w:p w14:paraId="58F68109">
      <w:pPr>
        <w:widowControl/>
        <w:spacing w:line="600" w:lineRule="exact"/>
        <w:rPr>
          <w:rFonts w:hint="eastAsia" w:ascii="黑体" w:hAnsi="黑体" w:eastAsia="黑体" w:cs="黑体"/>
          <w:kern w:val="0"/>
          <w:sz w:val="32"/>
          <w:szCs w:val="32"/>
        </w:rPr>
      </w:pPr>
      <w:r>
        <w:rPr>
          <w:rFonts w:hint="eastAsia" w:ascii="黑体" w:hAnsi="黑体" w:eastAsia="黑体" w:cs="黑体"/>
          <w:kern w:val="0"/>
          <w:sz w:val="32"/>
          <w:szCs w:val="32"/>
        </w:rPr>
        <w:t>九、农业户宅基地按《房屋所有权证》记载间数,每间房屋补助3600元。</w:t>
      </w:r>
    </w:p>
    <w:p w14:paraId="05E99808">
      <w:pPr>
        <w:widowControl/>
        <w:spacing w:line="600" w:lineRule="exact"/>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rPr>
        <w:t>十、原房屋买卖、赠与、继承或其他形式获得产权的,没有办理《房屋所有权证》或《房屋所有权证》没有变更过户的,现使用人应到不动产登记部门进行登记或变更。</w:t>
      </w:r>
    </w:p>
    <w:p w14:paraId="19BA6161">
      <w:pPr>
        <w:widowControl/>
        <w:spacing w:line="6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仿宋_GB2312" w:hAnsi="仿宋_GB2312" w:eastAsia="仿宋_GB2312" w:cs="仿宋_GB2312"/>
          <w:kern w:val="0"/>
          <w:sz w:val="32"/>
          <w:szCs w:val="32"/>
        </w:rPr>
        <w:t>现使用人不履行《房屋所有权证》登记或变更手续,不能按期回迁的，造成损失自行负责。</w:t>
      </w:r>
    </w:p>
    <w:p w14:paraId="66ADCFBA">
      <w:pPr>
        <w:widowControl/>
        <w:spacing w:line="600" w:lineRule="exact"/>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rPr>
        <w:t>十一、签订房屋征收补偿安置协议期限为60天,从接到通知书之日起计算。</w:t>
      </w:r>
    </w:p>
    <w:p w14:paraId="63B8A858">
      <w:pPr>
        <w:widowControl/>
        <w:spacing w:line="600" w:lineRule="exact"/>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rPr>
        <w:t>十二、奖励</w:t>
      </w:r>
    </w:p>
    <w:p w14:paraId="4F22BCC1">
      <w:pPr>
        <w:widowControl/>
        <w:spacing w:line="6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仿宋_GB2312" w:hAnsi="仿宋_GB2312" w:eastAsia="仿宋_GB2312" w:cs="仿宋_GB2312"/>
          <w:kern w:val="0"/>
          <w:sz w:val="32"/>
          <w:szCs w:val="32"/>
        </w:rPr>
        <w:t>接到《房屋征收通知书》60天内,按规定签订房屋征收补偿安置协议的,给予奖励。</w:t>
      </w:r>
    </w:p>
    <w:p w14:paraId="7DBFBCA8">
      <w:pPr>
        <w:widowControl/>
        <w:spacing w:line="6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黑体" w:hAnsi="黑体" w:eastAsia="黑体" w:cs="黑体"/>
          <w:kern w:val="0"/>
          <w:sz w:val="32"/>
          <w:szCs w:val="32"/>
        </w:rPr>
        <w:t>（一）住宅为平房或带院二层楼房的</w:t>
      </w:r>
    </w:p>
    <w:p w14:paraId="7789FECB">
      <w:pPr>
        <w:widowControl/>
        <w:spacing w:line="6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仿宋_GB2312" w:hAnsi="仿宋_GB2312" w:eastAsia="仿宋_GB2312" w:cs="仿宋_GB2312"/>
          <w:kern w:val="0"/>
          <w:sz w:val="32"/>
          <w:szCs w:val="32"/>
        </w:rPr>
        <w:t>1.选择货币补偿的,按《房屋所有权证》记载的建筑面积每平方米奖励200元。</w:t>
      </w:r>
    </w:p>
    <w:p w14:paraId="6C9A2384">
      <w:pPr>
        <w:widowControl/>
        <w:spacing w:line="6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仿宋_GB2312" w:hAnsi="仿宋_GB2312" w:eastAsia="仿宋_GB2312" w:cs="仿宋_GB2312"/>
          <w:kern w:val="0"/>
          <w:sz w:val="32"/>
          <w:szCs w:val="32"/>
        </w:rPr>
        <w:t>2.选择回迁安置的, 回迁面积大于《房屋所有权证》记载的建筑面积，按《房屋所有权证》记载的建筑面积奖励。20天内（含20天）签订协议的，每平方米奖励600元；21天—40天内（含40天）签订协议的，每平方米奖励400元；41天—60天内（含60天）签订协议的，每平方米奖励200元；超过60天未签订协议的取消奖励。</w:t>
      </w:r>
    </w:p>
    <w:p w14:paraId="18F4AC61">
      <w:pPr>
        <w:widowControl/>
        <w:spacing w:line="6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仿宋_GB2312" w:hAnsi="仿宋_GB2312" w:eastAsia="仿宋_GB2312" w:cs="仿宋_GB2312"/>
          <w:kern w:val="0"/>
          <w:sz w:val="32"/>
          <w:szCs w:val="32"/>
        </w:rPr>
        <w:t>回迁面积少于《房屋所有权证》记载的建筑面积，按实际回迁建筑面积奖励。</w:t>
      </w:r>
    </w:p>
    <w:p w14:paraId="369ABD04">
      <w:pPr>
        <w:widowControl/>
        <w:spacing w:line="6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黑体" w:hAnsi="黑体" w:eastAsia="黑体" w:cs="黑体"/>
          <w:kern w:val="0"/>
          <w:sz w:val="32"/>
          <w:szCs w:val="32"/>
        </w:rPr>
        <w:t>（二）住宅为老旧楼房的</w:t>
      </w:r>
    </w:p>
    <w:p w14:paraId="1A116C9E">
      <w:pPr>
        <w:widowControl/>
        <w:spacing w:line="6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仿宋_GB2312" w:hAnsi="仿宋_GB2312" w:eastAsia="仿宋_GB2312" w:cs="仿宋_GB2312"/>
          <w:kern w:val="0"/>
          <w:sz w:val="32"/>
          <w:szCs w:val="32"/>
        </w:rPr>
        <w:t>1.选择货币补偿的，按《房屋所有权证》记载的建筑面积给予奖励，已建成40年以上的（含40年），每平方米奖励100元；已建成30年以上不足40年的（含30年），每平方米奖励200元；已建成20年以上不足30年的（含20年），每平方米奖励300元。</w:t>
      </w:r>
    </w:p>
    <w:p w14:paraId="5A5C16A2">
      <w:pPr>
        <w:widowControl/>
        <w:spacing w:line="6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仿宋_GB2312" w:hAnsi="仿宋_GB2312" w:eastAsia="仿宋_GB2312" w:cs="仿宋_GB2312"/>
          <w:kern w:val="0"/>
          <w:sz w:val="32"/>
          <w:szCs w:val="32"/>
        </w:rPr>
        <w:t>2.选择回迁安置的，回迁面积大于《房屋所有权证》记载的建筑面积，按《房屋所有权证》记载的建筑面积奖励。20天内签订协议并搬迁的，奖励15%；21天—40天内（含40天）签订协议并搬迁的，奖励10%；41天—60天内（含60天）签订协议并搬迁的，奖励5%。</w:t>
      </w:r>
    </w:p>
    <w:p w14:paraId="68F7CBBD">
      <w:pPr>
        <w:widowControl/>
        <w:spacing w:line="6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仿宋_GB2312" w:hAnsi="仿宋_GB2312" w:eastAsia="仿宋_GB2312" w:cs="仿宋_GB2312"/>
          <w:kern w:val="0"/>
          <w:sz w:val="32"/>
          <w:szCs w:val="32"/>
        </w:rPr>
        <w:t>回迁面积少于《房屋所有权证》记载的建筑面积，按实际回迁建筑面积奖励。</w:t>
      </w:r>
    </w:p>
    <w:p w14:paraId="0B5F0495">
      <w:pPr>
        <w:widowControl/>
        <w:spacing w:line="600" w:lineRule="exact"/>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rPr>
        <w:t>十三、被征收人签订协议后，应结清水、电、有线电视、宽带等各项费用，及时腾空房屋，以房屋原有结构、门窗及附属设施完好、室内生活用品等搬空为标准。由征收部门验收合格后，开具结算单，领取补偿款。</w:t>
      </w:r>
    </w:p>
    <w:p w14:paraId="627B8F56">
      <w:pPr>
        <w:widowControl/>
        <w:spacing w:line="600" w:lineRule="exact"/>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rPr>
        <w:t>十四、被征收人在法定期限内不申请行政复议或不提起行政诉讼,在补偿决定规定的期限内又不搬迁的,由作出房屋征收决定的市、县人民政府依法申请人民法院强制执行。</w:t>
      </w:r>
    </w:p>
    <w:p w14:paraId="1D04E648">
      <w:pPr>
        <w:widowControl/>
        <w:spacing w:line="600" w:lineRule="exact"/>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rPr>
        <w:t>十五、房屋征收范围确定后,县政府做出房屋征收决定之日起,抢建的建筑物、构筑物不予补偿。</w:t>
      </w:r>
    </w:p>
    <w:p w14:paraId="0C16DA94">
      <w:pPr>
        <w:widowControl/>
        <w:spacing w:line="600" w:lineRule="exact"/>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rPr>
        <w:t>十六、房屋征收工作人员在房屋征收补偿安置中不履行法规、政策规定职责的,或滥用职权、玩忽职守、徇私舞弊造成损失的,依法承担赔偿责任；对直接负责的主管人员和其他直接责任人员,</w:t>
      </w:r>
      <w:r>
        <w:rPr>
          <w:rFonts w:hint="eastAsia" w:ascii="黑体" w:hAnsi="黑体" w:eastAsia="黑体" w:cs="黑体"/>
          <w:kern w:val="0"/>
          <w:sz w:val="32"/>
          <w:szCs w:val="32"/>
          <w:lang w:eastAsia="zh-CN"/>
        </w:rPr>
        <w:t>依法给予</w:t>
      </w:r>
      <w:r>
        <w:rPr>
          <w:rFonts w:hint="eastAsia" w:ascii="黑体" w:hAnsi="黑体" w:eastAsia="黑体" w:cs="黑体"/>
          <w:kern w:val="0"/>
          <w:sz w:val="32"/>
          <w:szCs w:val="32"/>
        </w:rPr>
        <w:t>处分；构成犯罪的,依法追究刑事责任。</w:t>
      </w:r>
    </w:p>
    <w:p w14:paraId="51A1BCE2">
      <w:pPr>
        <w:widowControl/>
        <w:spacing w:line="600" w:lineRule="exact"/>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rPr>
        <w:t>十七、采取暴力、威胁等手段阻碍依法进行的房屋征收与补偿工作,构成违反治安管理行为的,依法给予治安管理处罚;构成犯罪的,依法追究刑事责任。</w:t>
      </w:r>
    </w:p>
    <w:p w14:paraId="69116EC5">
      <w:pPr>
        <w:widowControl/>
        <w:spacing w:line="600" w:lineRule="exact"/>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rPr>
        <w:t>十八、本方案适用于阜蒙县城内棚户区改造项目，未尽事宜由县旧城区改建房屋征收工作领导小组研究解决。</w:t>
      </w:r>
    </w:p>
    <w:p w14:paraId="768D0B25">
      <w:pPr>
        <w:widowControl/>
        <w:spacing w:line="600" w:lineRule="exact"/>
        <w:ind w:firstLine="640" w:firstLineChars="200"/>
        <w:rPr>
          <w:rFonts w:hint="eastAsia" w:ascii="仿宋_GB2312" w:hAnsi="仿宋_GB2312" w:eastAsia="仿宋_GB2312" w:cs="仿宋_GB2312"/>
          <w:kern w:val="0"/>
          <w:sz w:val="32"/>
          <w:szCs w:val="32"/>
        </w:rPr>
      </w:pPr>
    </w:p>
    <w:p w14:paraId="551CE3C8">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w:t>
      </w:r>
    </w:p>
    <w:p w14:paraId="6304D32B">
      <w:pPr>
        <w:widowControl/>
        <w:spacing w:line="6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仿宋_GB2312" w:hAnsi="仿宋_GB2312" w:eastAsia="仿宋_GB2312" w:cs="仿宋_GB2312"/>
          <w:kern w:val="0"/>
          <w:sz w:val="32"/>
          <w:szCs w:val="32"/>
        </w:rPr>
        <w:t>1.房屋征收附属物补偿标准。</w:t>
      </w:r>
    </w:p>
    <w:p w14:paraId="7F1EDCED">
      <w:pPr>
        <w:widowControl/>
        <w:spacing w:line="6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仿宋_GB2312" w:hAnsi="仿宋_GB2312" w:eastAsia="仿宋_GB2312" w:cs="仿宋_GB2312"/>
          <w:kern w:val="0"/>
          <w:sz w:val="32"/>
          <w:szCs w:val="32"/>
        </w:rPr>
        <w:t>2.阜蒙县城区市政规划街、路。</w:t>
      </w:r>
    </w:p>
    <w:p w14:paraId="7F155B53">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注:</w:t>
      </w:r>
    </w:p>
    <w:p w14:paraId="3B4B96E6">
      <w:pPr>
        <w:widowControl/>
        <w:spacing w:line="6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仿宋_GB2312" w:hAnsi="仿宋_GB2312" w:eastAsia="仿宋_GB2312" w:cs="仿宋_GB2312"/>
          <w:kern w:val="0"/>
          <w:sz w:val="32"/>
          <w:szCs w:val="32"/>
        </w:rPr>
        <w:t>1.征收人—阜蒙县人民政府。</w:t>
      </w:r>
    </w:p>
    <w:p w14:paraId="2152F9E7">
      <w:pPr>
        <w:widowControl/>
        <w:numPr>
          <w:ilvl w:val="0"/>
          <w:numId w:val="0"/>
        </w:numPr>
        <w:spacing w:line="6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被征收人—房屋所有权人。</w:t>
      </w:r>
    </w:p>
    <w:p w14:paraId="01DACD9D">
      <w:pPr>
        <w:widowControl/>
        <w:numPr>
          <w:ilvl w:val="0"/>
          <w:numId w:val="0"/>
        </w:numPr>
        <w:spacing w:line="6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仿宋_GB2312" w:hAnsi="仿宋_GB2312" w:eastAsia="仿宋_GB2312" w:cs="仿宋_GB2312"/>
          <w:kern w:val="0"/>
          <w:sz w:val="32"/>
          <w:szCs w:val="32"/>
        </w:rPr>
        <w:t>3.主房—《房屋所有权证》确定的房屋。</w:t>
      </w:r>
    </w:p>
    <w:p w14:paraId="1D2AE979">
      <w:pPr>
        <w:widowControl/>
        <w:numPr>
          <w:ilvl w:val="0"/>
          <w:numId w:val="0"/>
        </w:numPr>
        <w:spacing w:line="6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仿宋_GB2312" w:hAnsi="仿宋_GB2312" w:eastAsia="仿宋_GB2312" w:cs="仿宋_GB2312"/>
          <w:kern w:val="0"/>
          <w:sz w:val="32"/>
          <w:szCs w:val="32"/>
        </w:rPr>
        <w:t>4.附属房—未经批准,未取得合法手续的临时建筑。附属房包括门房、耳房、厢房、后厦、仓房。</w:t>
      </w:r>
    </w:p>
    <w:p w14:paraId="245F8F7B">
      <w:pPr>
        <w:widowControl/>
        <w:numPr>
          <w:ilvl w:val="0"/>
          <w:numId w:val="0"/>
        </w:numPr>
        <w:spacing w:line="6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仿宋_GB2312" w:hAnsi="仿宋_GB2312" w:eastAsia="仿宋_GB2312" w:cs="仿宋_GB2312"/>
          <w:kern w:val="0"/>
          <w:sz w:val="32"/>
          <w:szCs w:val="32"/>
        </w:rPr>
        <w:t>5.合理增加面积—住宅不足52平方米,补足到52平方米的部分。</w:t>
      </w:r>
    </w:p>
    <w:p w14:paraId="262C7129">
      <w:pPr>
        <w:widowControl/>
        <w:numPr>
          <w:ilvl w:val="0"/>
          <w:numId w:val="0"/>
        </w:numPr>
        <w:spacing w:line="6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仿宋_GB2312" w:hAnsi="仿宋_GB2312" w:eastAsia="仿宋_GB2312" w:cs="仿宋_GB2312"/>
          <w:kern w:val="0"/>
          <w:sz w:val="32"/>
          <w:szCs w:val="32"/>
        </w:rPr>
        <w:t>6.自行增加面积—超出《房屋所有权证》记载的面积部分。</w:t>
      </w:r>
    </w:p>
    <w:p w14:paraId="08544AD1">
      <w:pPr>
        <w:widowControl/>
        <w:spacing w:line="600" w:lineRule="exact"/>
        <w:ind w:left="160" w:leftChars="76" w:firstLine="1120" w:firstLineChars="350"/>
        <w:rPr>
          <w:rFonts w:hint="eastAsia" w:ascii="仿宋_GB2312" w:hAnsi="仿宋_GB2312" w:eastAsia="仿宋_GB2312" w:cs="仿宋_GB2312"/>
          <w:kern w:val="0"/>
          <w:sz w:val="32"/>
          <w:szCs w:val="32"/>
        </w:rPr>
      </w:pPr>
    </w:p>
    <w:p w14:paraId="7E418491">
      <w:pPr>
        <w:widowControl/>
        <w:spacing w:line="600" w:lineRule="exact"/>
        <w:ind w:left="160" w:leftChars="76" w:firstLine="1120" w:firstLineChars="350"/>
        <w:rPr>
          <w:rFonts w:hint="eastAsia" w:ascii="仿宋_GB2312" w:hAnsi="仿宋_GB2312" w:eastAsia="仿宋_GB2312" w:cs="仿宋_GB2312"/>
          <w:kern w:val="0"/>
          <w:sz w:val="32"/>
          <w:szCs w:val="32"/>
        </w:rPr>
      </w:pPr>
    </w:p>
    <w:p w14:paraId="533DE822">
      <w:pPr>
        <w:widowControl/>
        <w:spacing w:line="600" w:lineRule="exact"/>
        <w:ind w:left="160" w:leftChars="76" w:firstLine="1120" w:firstLineChars="350"/>
        <w:rPr>
          <w:rFonts w:hint="eastAsia" w:ascii="仿宋_GB2312" w:hAnsi="仿宋_GB2312" w:eastAsia="仿宋_GB2312" w:cs="仿宋_GB2312"/>
          <w:kern w:val="0"/>
          <w:sz w:val="32"/>
          <w:szCs w:val="32"/>
        </w:rPr>
      </w:pPr>
    </w:p>
    <w:p w14:paraId="65328740">
      <w:pPr>
        <w:widowControl/>
        <w:spacing w:line="600" w:lineRule="exact"/>
        <w:ind w:left="160" w:leftChars="76" w:firstLine="1120" w:firstLineChars="350"/>
        <w:rPr>
          <w:rFonts w:hint="eastAsia" w:ascii="仿宋_GB2312" w:hAnsi="仿宋_GB2312" w:eastAsia="仿宋_GB2312" w:cs="仿宋_GB2312"/>
          <w:kern w:val="0"/>
          <w:sz w:val="32"/>
          <w:szCs w:val="32"/>
        </w:rPr>
      </w:pPr>
    </w:p>
    <w:p w14:paraId="5D568DCB">
      <w:pPr>
        <w:widowControl/>
        <w:spacing w:line="600" w:lineRule="exact"/>
        <w:ind w:left="160" w:leftChars="76" w:firstLine="1120" w:firstLineChars="350"/>
        <w:rPr>
          <w:rFonts w:hint="eastAsia" w:ascii="仿宋_GB2312" w:hAnsi="仿宋_GB2312" w:eastAsia="仿宋_GB2312" w:cs="仿宋_GB2312"/>
          <w:kern w:val="0"/>
          <w:sz w:val="32"/>
          <w:szCs w:val="32"/>
        </w:rPr>
      </w:pPr>
    </w:p>
    <w:p w14:paraId="4C869401">
      <w:pPr>
        <w:widowControl/>
        <w:spacing w:line="600" w:lineRule="exact"/>
        <w:ind w:left="160" w:leftChars="76" w:firstLine="1120" w:firstLineChars="350"/>
        <w:rPr>
          <w:rFonts w:hint="eastAsia" w:ascii="仿宋_GB2312" w:hAnsi="仿宋_GB2312" w:eastAsia="仿宋_GB2312" w:cs="仿宋_GB2312"/>
          <w:kern w:val="0"/>
          <w:sz w:val="32"/>
          <w:szCs w:val="32"/>
        </w:rPr>
      </w:pPr>
    </w:p>
    <w:p w14:paraId="1177A312">
      <w:pPr>
        <w:widowControl/>
        <w:spacing w:line="600" w:lineRule="exact"/>
        <w:ind w:left="160" w:leftChars="76" w:firstLine="1120" w:firstLineChars="350"/>
        <w:rPr>
          <w:rFonts w:hint="eastAsia" w:ascii="仿宋_GB2312" w:hAnsi="仿宋_GB2312" w:eastAsia="仿宋_GB2312" w:cs="仿宋_GB2312"/>
          <w:kern w:val="0"/>
          <w:sz w:val="32"/>
          <w:szCs w:val="32"/>
        </w:rPr>
      </w:pPr>
    </w:p>
    <w:p w14:paraId="2C863CE8">
      <w:pPr>
        <w:widowControl/>
        <w:spacing w:line="600" w:lineRule="exact"/>
        <w:ind w:left="160" w:leftChars="76" w:firstLine="1120" w:firstLineChars="350"/>
        <w:rPr>
          <w:rFonts w:hint="eastAsia" w:ascii="仿宋_GB2312" w:hAnsi="仿宋_GB2312" w:eastAsia="仿宋_GB2312" w:cs="仿宋_GB2312"/>
          <w:kern w:val="0"/>
          <w:sz w:val="32"/>
          <w:szCs w:val="32"/>
        </w:rPr>
      </w:pPr>
    </w:p>
    <w:p w14:paraId="43974F7B">
      <w:pPr>
        <w:widowControl/>
        <w:spacing w:line="600" w:lineRule="exact"/>
        <w:ind w:left="160" w:leftChars="76" w:firstLine="1120" w:firstLineChars="350"/>
        <w:rPr>
          <w:rFonts w:hint="eastAsia" w:ascii="仿宋_GB2312" w:hAnsi="仿宋_GB2312" w:eastAsia="仿宋_GB2312" w:cs="仿宋_GB2312"/>
          <w:kern w:val="0"/>
          <w:sz w:val="32"/>
          <w:szCs w:val="32"/>
        </w:rPr>
      </w:pPr>
    </w:p>
    <w:p w14:paraId="0C1F39EE">
      <w:pPr>
        <w:widowControl/>
        <w:spacing w:line="600" w:lineRule="exact"/>
        <w:ind w:left="160" w:leftChars="76" w:firstLine="1120" w:firstLineChars="350"/>
        <w:rPr>
          <w:rFonts w:hint="eastAsia" w:ascii="仿宋_GB2312" w:hAnsi="仿宋_GB2312" w:eastAsia="仿宋_GB2312" w:cs="仿宋_GB2312"/>
          <w:kern w:val="0"/>
          <w:sz w:val="32"/>
          <w:szCs w:val="32"/>
        </w:rPr>
      </w:pPr>
    </w:p>
    <w:p w14:paraId="56400004">
      <w:pPr>
        <w:widowControl/>
        <w:spacing w:line="600" w:lineRule="exact"/>
        <w:ind w:left="160" w:leftChars="76" w:firstLine="1120" w:firstLineChars="350"/>
        <w:rPr>
          <w:rFonts w:hint="eastAsia" w:ascii="仿宋_GB2312" w:hAnsi="仿宋_GB2312" w:eastAsia="仿宋_GB2312" w:cs="仿宋_GB2312"/>
          <w:kern w:val="0"/>
          <w:sz w:val="32"/>
          <w:szCs w:val="32"/>
        </w:rPr>
      </w:pPr>
    </w:p>
    <w:p w14:paraId="77CD4B83">
      <w:pPr>
        <w:widowControl/>
        <w:spacing w:line="600" w:lineRule="exact"/>
        <w:ind w:left="160" w:leftChars="76" w:firstLine="1120" w:firstLineChars="350"/>
        <w:rPr>
          <w:rFonts w:hint="eastAsia" w:ascii="仿宋_GB2312" w:hAnsi="仿宋_GB2312" w:eastAsia="仿宋_GB2312" w:cs="仿宋_GB2312"/>
          <w:kern w:val="0"/>
          <w:sz w:val="32"/>
          <w:szCs w:val="32"/>
        </w:rPr>
      </w:pPr>
    </w:p>
    <w:p w14:paraId="266BC280">
      <w:pPr>
        <w:widowControl/>
        <w:spacing w:line="600" w:lineRule="exact"/>
        <w:ind w:left="160" w:leftChars="76" w:firstLine="1120" w:firstLineChars="350"/>
        <w:rPr>
          <w:rFonts w:hint="eastAsia" w:ascii="仿宋_GB2312" w:hAnsi="仿宋_GB2312" w:eastAsia="仿宋_GB2312" w:cs="仿宋_GB2312"/>
          <w:kern w:val="0"/>
          <w:sz w:val="32"/>
          <w:szCs w:val="32"/>
        </w:rPr>
      </w:pPr>
    </w:p>
    <w:p w14:paraId="15730944">
      <w:pPr>
        <w:widowControl/>
        <w:spacing w:line="600" w:lineRule="exact"/>
        <w:rPr>
          <w:rFonts w:hint="eastAsia" w:ascii="仿宋_GB2312" w:hAnsi="仿宋_GB2312" w:eastAsia="仿宋_GB2312" w:cs="仿宋_GB2312"/>
          <w:kern w:val="0"/>
          <w:sz w:val="32"/>
          <w:szCs w:val="32"/>
        </w:rPr>
      </w:pPr>
    </w:p>
    <w:p w14:paraId="644982C7">
      <w:pPr>
        <w:widowControl/>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p>
    <w:p w14:paraId="07DCD695">
      <w:pPr>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房屋征收附属物补偿标准</w:t>
      </w:r>
    </w:p>
    <w:tbl>
      <w:tblPr>
        <w:tblStyle w:val="7"/>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1984"/>
        <w:gridCol w:w="6350"/>
      </w:tblGrid>
      <w:tr w14:paraId="76B17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44" w:type="dxa"/>
            <w:noWrap w:val="0"/>
            <w:vAlign w:val="top"/>
          </w:tcPr>
          <w:p w14:paraId="53FC7B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1984" w:type="dxa"/>
            <w:noWrap w:val="0"/>
            <w:vAlign w:val="top"/>
          </w:tcPr>
          <w:p w14:paraId="29B8D9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p>
        </w:tc>
        <w:tc>
          <w:tcPr>
            <w:tcW w:w="6350" w:type="dxa"/>
            <w:noWrap w:val="0"/>
            <w:vAlign w:val="top"/>
          </w:tcPr>
          <w:p w14:paraId="5F9BB8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补偿标准</w:t>
            </w:r>
          </w:p>
        </w:tc>
      </w:tr>
      <w:tr w14:paraId="1AC74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44" w:type="dxa"/>
            <w:noWrap w:val="0"/>
            <w:vAlign w:val="top"/>
          </w:tcPr>
          <w:p w14:paraId="4D6CB9E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984" w:type="dxa"/>
            <w:noWrap w:val="0"/>
            <w:vAlign w:val="top"/>
          </w:tcPr>
          <w:p w14:paraId="2BD8AA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院墙</w:t>
            </w:r>
          </w:p>
        </w:tc>
        <w:tc>
          <w:tcPr>
            <w:tcW w:w="6350" w:type="dxa"/>
            <w:noWrap w:val="0"/>
            <w:vAlign w:val="top"/>
          </w:tcPr>
          <w:p w14:paraId="72EA5C0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砖石1.6米高，每延长米80元</w:t>
            </w:r>
          </w:p>
        </w:tc>
      </w:tr>
      <w:tr w14:paraId="64C62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944" w:type="dxa"/>
            <w:noWrap w:val="0"/>
            <w:vAlign w:val="top"/>
          </w:tcPr>
          <w:p w14:paraId="2BA9F1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984" w:type="dxa"/>
            <w:noWrap w:val="0"/>
            <w:vAlign w:val="top"/>
          </w:tcPr>
          <w:p w14:paraId="22CB06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户外厕所</w:t>
            </w:r>
          </w:p>
        </w:tc>
        <w:tc>
          <w:tcPr>
            <w:tcW w:w="6350" w:type="dxa"/>
            <w:noWrap w:val="0"/>
            <w:vAlign w:val="top"/>
          </w:tcPr>
          <w:p w14:paraId="5759EE4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300元/个—500元/个</w:t>
            </w:r>
          </w:p>
        </w:tc>
      </w:tr>
      <w:tr w14:paraId="2E97F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44" w:type="dxa"/>
            <w:noWrap w:val="0"/>
            <w:vAlign w:val="top"/>
          </w:tcPr>
          <w:p w14:paraId="0F766D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1984" w:type="dxa"/>
            <w:noWrap w:val="0"/>
            <w:vAlign w:val="top"/>
          </w:tcPr>
          <w:p w14:paraId="742730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大门</w:t>
            </w:r>
          </w:p>
        </w:tc>
        <w:tc>
          <w:tcPr>
            <w:tcW w:w="6350" w:type="dxa"/>
            <w:noWrap w:val="0"/>
            <w:vAlign w:val="top"/>
          </w:tcPr>
          <w:p w14:paraId="33A0FFD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300元—2000元</w:t>
            </w:r>
          </w:p>
        </w:tc>
      </w:tr>
      <w:tr w14:paraId="0C397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44" w:type="dxa"/>
            <w:noWrap w:val="0"/>
            <w:vAlign w:val="top"/>
          </w:tcPr>
          <w:p w14:paraId="4E795D1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1984" w:type="dxa"/>
            <w:noWrap w:val="0"/>
            <w:vAlign w:val="top"/>
          </w:tcPr>
          <w:p w14:paraId="5B38997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管井、大井</w:t>
            </w:r>
          </w:p>
        </w:tc>
        <w:tc>
          <w:tcPr>
            <w:tcW w:w="6350" w:type="dxa"/>
            <w:noWrap w:val="0"/>
            <w:vAlign w:val="top"/>
          </w:tcPr>
          <w:p w14:paraId="159EC5E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1000元/眼、4000元/眼—5000元/眼</w:t>
            </w:r>
          </w:p>
        </w:tc>
      </w:tr>
      <w:tr w14:paraId="07EB4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944" w:type="dxa"/>
            <w:noWrap w:val="0"/>
            <w:vAlign w:val="top"/>
          </w:tcPr>
          <w:p w14:paraId="12B0F9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1984" w:type="dxa"/>
            <w:noWrap w:val="0"/>
            <w:vAlign w:val="top"/>
          </w:tcPr>
          <w:p w14:paraId="4B4D76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水表</w:t>
            </w:r>
          </w:p>
        </w:tc>
        <w:tc>
          <w:tcPr>
            <w:tcW w:w="6350" w:type="dxa"/>
            <w:noWrap w:val="0"/>
            <w:vAlign w:val="top"/>
          </w:tcPr>
          <w:p w14:paraId="073EADA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100元/块</w:t>
            </w:r>
          </w:p>
        </w:tc>
      </w:tr>
      <w:tr w14:paraId="4E9DF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44" w:type="dxa"/>
            <w:noWrap w:val="0"/>
            <w:vAlign w:val="top"/>
          </w:tcPr>
          <w:p w14:paraId="4E097C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1984" w:type="dxa"/>
            <w:noWrap w:val="0"/>
            <w:vAlign w:val="top"/>
          </w:tcPr>
          <w:p w14:paraId="37000A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电表</w:t>
            </w:r>
          </w:p>
        </w:tc>
        <w:tc>
          <w:tcPr>
            <w:tcW w:w="6350" w:type="dxa"/>
            <w:noWrap w:val="0"/>
            <w:vAlign w:val="top"/>
          </w:tcPr>
          <w:p w14:paraId="6C32E02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200元/块</w:t>
            </w:r>
          </w:p>
        </w:tc>
      </w:tr>
      <w:tr w14:paraId="2D949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44" w:type="dxa"/>
            <w:noWrap w:val="0"/>
            <w:vAlign w:val="top"/>
          </w:tcPr>
          <w:p w14:paraId="5EBAB9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p>
        </w:tc>
        <w:tc>
          <w:tcPr>
            <w:tcW w:w="1984" w:type="dxa"/>
            <w:noWrap w:val="0"/>
            <w:vAlign w:val="top"/>
          </w:tcPr>
          <w:p w14:paraId="366B5D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w:t>
            </w:r>
          </w:p>
        </w:tc>
        <w:tc>
          <w:tcPr>
            <w:tcW w:w="6350" w:type="dxa"/>
            <w:noWrap w:val="0"/>
            <w:vAlign w:val="top"/>
          </w:tcPr>
          <w:p w14:paraId="0EE495B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100元/部</w:t>
            </w:r>
          </w:p>
        </w:tc>
      </w:tr>
      <w:tr w14:paraId="56331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944" w:type="dxa"/>
            <w:noWrap w:val="0"/>
            <w:vAlign w:val="top"/>
          </w:tcPr>
          <w:p w14:paraId="62982A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p>
        </w:tc>
        <w:tc>
          <w:tcPr>
            <w:tcW w:w="1984" w:type="dxa"/>
            <w:noWrap w:val="0"/>
            <w:vAlign w:val="top"/>
          </w:tcPr>
          <w:p w14:paraId="5E00A6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闭路</w:t>
            </w:r>
          </w:p>
        </w:tc>
        <w:tc>
          <w:tcPr>
            <w:tcW w:w="6350" w:type="dxa"/>
            <w:noWrap w:val="0"/>
            <w:vAlign w:val="top"/>
          </w:tcPr>
          <w:p w14:paraId="66F962C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350元/户</w:t>
            </w:r>
          </w:p>
        </w:tc>
      </w:tr>
      <w:tr w14:paraId="73248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44" w:type="dxa"/>
            <w:noWrap w:val="0"/>
            <w:vAlign w:val="top"/>
          </w:tcPr>
          <w:p w14:paraId="6B2D32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p>
        </w:tc>
        <w:tc>
          <w:tcPr>
            <w:tcW w:w="1984" w:type="dxa"/>
            <w:noWrap w:val="0"/>
            <w:vAlign w:val="top"/>
          </w:tcPr>
          <w:p w14:paraId="10A005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宽带</w:t>
            </w:r>
          </w:p>
        </w:tc>
        <w:tc>
          <w:tcPr>
            <w:tcW w:w="6350" w:type="dxa"/>
            <w:noWrap w:val="0"/>
            <w:vAlign w:val="top"/>
          </w:tcPr>
          <w:p w14:paraId="1F88976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500元/户</w:t>
            </w:r>
          </w:p>
        </w:tc>
      </w:tr>
      <w:tr w14:paraId="3165C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44" w:type="dxa"/>
            <w:noWrap w:val="0"/>
            <w:vAlign w:val="top"/>
          </w:tcPr>
          <w:p w14:paraId="2451F4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p>
        </w:tc>
        <w:tc>
          <w:tcPr>
            <w:tcW w:w="1984" w:type="dxa"/>
            <w:noWrap w:val="0"/>
            <w:vAlign w:val="top"/>
          </w:tcPr>
          <w:p w14:paraId="7195BD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猪圈</w:t>
            </w:r>
          </w:p>
        </w:tc>
        <w:tc>
          <w:tcPr>
            <w:tcW w:w="6350" w:type="dxa"/>
            <w:noWrap w:val="0"/>
            <w:vAlign w:val="top"/>
          </w:tcPr>
          <w:p w14:paraId="24AA710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50元/平方米—80元/平方米</w:t>
            </w:r>
          </w:p>
        </w:tc>
      </w:tr>
      <w:tr w14:paraId="0DD4B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944" w:type="dxa"/>
            <w:noWrap w:val="0"/>
            <w:vAlign w:val="top"/>
          </w:tcPr>
          <w:p w14:paraId="2D82BD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w:t>
            </w:r>
          </w:p>
        </w:tc>
        <w:tc>
          <w:tcPr>
            <w:tcW w:w="1984" w:type="dxa"/>
            <w:noWrap w:val="0"/>
            <w:vAlign w:val="top"/>
          </w:tcPr>
          <w:p w14:paraId="2C4DDC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砖暖窖</w:t>
            </w:r>
          </w:p>
        </w:tc>
        <w:tc>
          <w:tcPr>
            <w:tcW w:w="6350" w:type="dxa"/>
            <w:noWrap w:val="0"/>
            <w:vAlign w:val="top"/>
          </w:tcPr>
          <w:p w14:paraId="1A80F13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80元/平方米—120元/平方米</w:t>
            </w:r>
          </w:p>
        </w:tc>
      </w:tr>
      <w:tr w14:paraId="5DAAE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44" w:type="dxa"/>
            <w:noWrap w:val="0"/>
            <w:vAlign w:val="top"/>
          </w:tcPr>
          <w:p w14:paraId="5A81C7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w:t>
            </w:r>
          </w:p>
        </w:tc>
        <w:tc>
          <w:tcPr>
            <w:tcW w:w="1984" w:type="dxa"/>
            <w:noWrap w:val="0"/>
            <w:vAlign w:val="top"/>
          </w:tcPr>
          <w:p w14:paraId="12677D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菜窖</w:t>
            </w:r>
          </w:p>
        </w:tc>
        <w:tc>
          <w:tcPr>
            <w:tcW w:w="6350" w:type="dxa"/>
            <w:noWrap w:val="0"/>
            <w:vAlign w:val="top"/>
          </w:tcPr>
          <w:p w14:paraId="361F317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300元/平方米</w:t>
            </w:r>
          </w:p>
        </w:tc>
      </w:tr>
      <w:tr w14:paraId="77D59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44" w:type="dxa"/>
            <w:noWrap w:val="0"/>
            <w:vAlign w:val="top"/>
          </w:tcPr>
          <w:p w14:paraId="0DD221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w:t>
            </w:r>
          </w:p>
        </w:tc>
        <w:tc>
          <w:tcPr>
            <w:tcW w:w="1984" w:type="dxa"/>
            <w:noWrap w:val="0"/>
            <w:vAlign w:val="top"/>
          </w:tcPr>
          <w:p w14:paraId="5F02AC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青苗</w:t>
            </w:r>
          </w:p>
        </w:tc>
        <w:tc>
          <w:tcPr>
            <w:tcW w:w="6350" w:type="dxa"/>
            <w:noWrap w:val="0"/>
            <w:vAlign w:val="top"/>
          </w:tcPr>
          <w:p w14:paraId="007F4BC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根芽20元/平方米、青芽15元/平方米</w:t>
            </w:r>
          </w:p>
        </w:tc>
      </w:tr>
      <w:tr w14:paraId="6B52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944" w:type="dxa"/>
            <w:noWrap w:val="0"/>
            <w:vAlign w:val="top"/>
          </w:tcPr>
          <w:p w14:paraId="29E3BF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w:t>
            </w:r>
          </w:p>
        </w:tc>
        <w:tc>
          <w:tcPr>
            <w:tcW w:w="1984" w:type="dxa"/>
            <w:noWrap w:val="0"/>
            <w:vAlign w:val="top"/>
          </w:tcPr>
          <w:p w14:paraId="21C7FE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树木</w:t>
            </w:r>
          </w:p>
        </w:tc>
        <w:tc>
          <w:tcPr>
            <w:tcW w:w="6350" w:type="dxa"/>
            <w:noWrap w:val="0"/>
            <w:vAlign w:val="top"/>
          </w:tcPr>
          <w:p w14:paraId="7F4F7F1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3元/公分（按胸径计算）</w:t>
            </w:r>
          </w:p>
        </w:tc>
      </w:tr>
      <w:tr w14:paraId="0DC5F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44" w:type="dxa"/>
            <w:noWrap w:val="0"/>
            <w:vAlign w:val="top"/>
          </w:tcPr>
          <w:p w14:paraId="4825F7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w:t>
            </w:r>
          </w:p>
        </w:tc>
        <w:tc>
          <w:tcPr>
            <w:tcW w:w="1984" w:type="dxa"/>
            <w:noWrap w:val="0"/>
            <w:vAlign w:val="top"/>
          </w:tcPr>
          <w:p w14:paraId="4A6257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果树</w:t>
            </w:r>
          </w:p>
        </w:tc>
        <w:tc>
          <w:tcPr>
            <w:tcW w:w="6350" w:type="dxa"/>
            <w:noWrap w:val="0"/>
            <w:vAlign w:val="top"/>
          </w:tcPr>
          <w:p w14:paraId="609FFFA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6元/株，四年以上100元/株</w:t>
            </w:r>
          </w:p>
        </w:tc>
      </w:tr>
      <w:tr w14:paraId="76130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44" w:type="dxa"/>
            <w:noWrap w:val="0"/>
            <w:vAlign w:val="top"/>
          </w:tcPr>
          <w:p w14:paraId="1C544A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w:t>
            </w:r>
          </w:p>
        </w:tc>
        <w:tc>
          <w:tcPr>
            <w:tcW w:w="1984" w:type="dxa"/>
            <w:noWrap w:val="0"/>
            <w:vAlign w:val="top"/>
          </w:tcPr>
          <w:p w14:paraId="09223D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葡萄树</w:t>
            </w:r>
          </w:p>
        </w:tc>
        <w:tc>
          <w:tcPr>
            <w:tcW w:w="6350" w:type="dxa"/>
            <w:noWrap w:val="0"/>
            <w:vAlign w:val="top"/>
          </w:tcPr>
          <w:p w14:paraId="687A49F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4"/>
                <w:sz w:val="32"/>
                <w:szCs w:val="32"/>
              </w:rPr>
            </w:pPr>
            <w:r>
              <w:rPr>
                <w:rFonts w:hint="eastAsia" w:ascii="仿宋_GB2312" w:hAnsi="仿宋_GB2312" w:eastAsia="仿宋_GB2312" w:cs="仿宋_GB2312"/>
                <w:spacing w:val="-24"/>
                <w:sz w:val="32"/>
                <w:szCs w:val="32"/>
              </w:rPr>
              <w:t>一年至三年6元/株—8元/株，四年至十年30元/株</w:t>
            </w:r>
          </w:p>
        </w:tc>
      </w:tr>
      <w:tr w14:paraId="3D127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44" w:type="dxa"/>
            <w:noWrap w:val="0"/>
            <w:vAlign w:val="top"/>
          </w:tcPr>
          <w:p w14:paraId="53A090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w:t>
            </w:r>
          </w:p>
        </w:tc>
        <w:tc>
          <w:tcPr>
            <w:tcW w:w="1984" w:type="dxa"/>
            <w:noWrap w:val="0"/>
            <w:vAlign w:val="top"/>
          </w:tcPr>
          <w:p w14:paraId="7C40DB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沉水井</w:t>
            </w:r>
          </w:p>
        </w:tc>
        <w:tc>
          <w:tcPr>
            <w:tcW w:w="6350" w:type="dxa"/>
            <w:noWrap w:val="0"/>
            <w:vAlign w:val="top"/>
          </w:tcPr>
          <w:p w14:paraId="7DC3221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1000元/个</w:t>
            </w:r>
          </w:p>
        </w:tc>
      </w:tr>
      <w:tr w14:paraId="78EF7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944" w:type="dxa"/>
            <w:noWrap w:val="0"/>
            <w:vAlign w:val="top"/>
          </w:tcPr>
          <w:p w14:paraId="62C0EC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w:t>
            </w:r>
          </w:p>
        </w:tc>
        <w:tc>
          <w:tcPr>
            <w:tcW w:w="1984" w:type="dxa"/>
            <w:noWrap w:val="0"/>
            <w:vAlign w:val="top"/>
          </w:tcPr>
          <w:p w14:paraId="387CBC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水泥地面</w:t>
            </w:r>
          </w:p>
        </w:tc>
        <w:tc>
          <w:tcPr>
            <w:tcW w:w="6350" w:type="dxa"/>
            <w:noWrap w:val="0"/>
            <w:vAlign w:val="top"/>
          </w:tcPr>
          <w:p w14:paraId="3CB6EF2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30元/平方米</w:t>
            </w:r>
          </w:p>
        </w:tc>
      </w:tr>
      <w:tr w14:paraId="3199F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44" w:type="dxa"/>
            <w:noWrap w:val="0"/>
            <w:vAlign w:val="top"/>
          </w:tcPr>
          <w:p w14:paraId="00C1B5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w:t>
            </w:r>
          </w:p>
        </w:tc>
        <w:tc>
          <w:tcPr>
            <w:tcW w:w="1984" w:type="dxa"/>
            <w:noWrap w:val="0"/>
            <w:vAlign w:val="top"/>
          </w:tcPr>
          <w:p w14:paraId="47A4FF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人行道板</w:t>
            </w:r>
          </w:p>
        </w:tc>
        <w:tc>
          <w:tcPr>
            <w:tcW w:w="6350" w:type="dxa"/>
            <w:noWrap w:val="0"/>
            <w:vAlign w:val="top"/>
          </w:tcPr>
          <w:p w14:paraId="6F61B08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35元/平方米</w:t>
            </w:r>
          </w:p>
        </w:tc>
      </w:tr>
      <w:tr w14:paraId="4226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44" w:type="dxa"/>
            <w:noWrap w:val="0"/>
            <w:vAlign w:val="top"/>
          </w:tcPr>
          <w:p w14:paraId="4BEBED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p>
        </w:tc>
        <w:tc>
          <w:tcPr>
            <w:tcW w:w="1984" w:type="dxa"/>
            <w:noWrap w:val="0"/>
            <w:vAlign w:val="top"/>
          </w:tcPr>
          <w:p w14:paraId="0CEA0D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铁栅栏</w:t>
            </w:r>
          </w:p>
        </w:tc>
        <w:tc>
          <w:tcPr>
            <w:tcW w:w="6350" w:type="dxa"/>
            <w:noWrap w:val="0"/>
            <w:vAlign w:val="top"/>
          </w:tcPr>
          <w:p w14:paraId="11CC136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50元/米—80元/米</w:t>
            </w:r>
          </w:p>
        </w:tc>
      </w:tr>
      <w:tr w14:paraId="27CC2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44" w:type="dxa"/>
            <w:noWrap w:val="0"/>
            <w:vAlign w:val="top"/>
          </w:tcPr>
          <w:p w14:paraId="6B70B0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w:t>
            </w:r>
          </w:p>
        </w:tc>
        <w:tc>
          <w:tcPr>
            <w:tcW w:w="1984" w:type="dxa"/>
            <w:noWrap w:val="0"/>
            <w:vAlign w:val="top"/>
          </w:tcPr>
          <w:p w14:paraId="335FF7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w:t>
            </w:r>
          </w:p>
        </w:tc>
        <w:tc>
          <w:tcPr>
            <w:tcW w:w="6350" w:type="dxa"/>
            <w:noWrap w:val="0"/>
            <w:vAlign w:val="top"/>
          </w:tcPr>
          <w:p w14:paraId="1676891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50元/平方米</w:t>
            </w:r>
          </w:p>
        </w:tc>
      </w:tr>
    </w:tbl>
    <w:p w14:paraId="2C423278">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14:paraId="23DC9D34">
      <w:pPr>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阜蒙县城区市政规划街、路</w:t>
      </w:r>
    </w:p>
    <w:tbl>
      <w:tblPr>
        <w:tblStyle w:val="7"/>
        <w:tblW w:w="9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518"/>
        <w:gridCol w:w="3421"/>
        <w:gridCol w:w="3494"/>
      </w:tblGrid>
      <w:tr w14:paraId="6D2AA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62" w:type="dxa"/>
            <w:noWrap w:val="0"/>
            <w:vAlign w:val="top"/>
          </w:tcPr>
          <w:p w14:paraId="79E72A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1518" w:type="dxa"/>
            <w:noWrap w:val="0"/>
            <w:vAlign w:val="top"/>
          </w:tcPr>
          <w:p w14:paraId="16473E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街</w:t>
            </w:r>
          </w:p>
        </w:tc>
        <w:tc>
          <w:tcPr>
            <w:tcW w:w="3421" w:type="dxa"/>
            <w:noWrap w:val="0"/>
            <w:vAlign w:val="top"/>
          </w:tcPr>
          <w:p w14:paraId="3AFA63BF">
            <w:pPr>
              <w:keepNext w:val="0"/>
              <w:keepLines w:val="0"/>
              <w:pageBreakBefore w:val="0"/>
              <w:widowControl w:val="0"/>
              <w:kinsoku/>
              <w:wordWrap/>
              <w:overflowPunct/>
              <w:topLinePunct w:val="0"/>
              <w:autoSpaceDE/>
              <w:autoSpaceDN/>
              <w:bidi w:val="0"/>
              <w:adjustRightInd/>
              <w:snapToGrid/>
              <w:spacing w:line="360" w:lineRule="exact"/>
              <w:ind w:firstLine="1120" w:firstLineChars="3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范   围</w:t>
            </w:r>
          </w:p>
        </w:tc>
        <w:tc>
          <w:tcPr>
            <w:tcW w:w="3494" w:type="dxa"/>
            <w:noWrap w:val="0"/>
            <w:vAlign w:val="top"/>
          </w:tcPr>
          <w:p w14:paraId="3D7368F8">
            <w:pPr>
              <w:keepNext w:val="0"/>
              <w:keepLines w:val="0"/>
              <w:pageBreakBefore w:val="0"/>
              <w:widowControl w:val="0"/>
              <w:kinsoku/>
              <w:wordWrap/>
              <w:overflowPunct/>
              <w:topLinePunct w:val="0"/>
              <w:autoSpaceDE/>
              <w:autoSpaceDN/>
              <w:bidi w:val="0"/>
              <w:adjustRightInd/>
              <w:snapToGrid/>
              <w:spacing w:line="360" w:lineRule="exact"/>
              <w:ind w:firstLine="1280" w:firstLine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   注</w:t>
            </w:r>
          </w:p>
        </w:tc>
      </w:tr>
      <w:tr w14:paraId="1C9B9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62" w:type="dxa"/>
            <w:noWrap w:val="0"/>
            <w:vAlign w:val="top"/>
          </w:tcPr>
          <w:p w14:paraId="5C5725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518" w:type="dxa"/>
            <w:noWrap w:val="0"/>
            <w:vAlign w:val="top"/>
          </w:tcPr>
          <w:p w14:paraId="683E54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繁荣大街</w:t>
            </w:r>
          </w:p>
        </w:tc>
        <w:tc>
          <w:tcPr>
            <w:tcW w:w="3421" w:type="dxa"/>
            <w:noWrap w:val="0"/>
            <w:vAlign w:val="top"/>
          </w:tcPr>
          <w:p w14:paraId="38E986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八一路 — 新大桥</w:t>
            </w:r>
          </w:p>
        </w:tc>
        <w:tc>
          <w:tcPr>
            <w:tcW w:w="3494" w:type="dxa"/>
            <w:noWrap w:val="0"/>
            <w:vAlign w:val="top"/>
          </w:tcPr>
          <w:p w14:paraId="1A9223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刑警大队至垃圾场</w:t>
            </w:r>
          </w:p>
        </w:tc>
      </w:tr>
      <w:tr w14:paraId="403CD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62" w:type="dxa"/>
            <w:noWrap w:val="0"/>
            <w:vAlign w:val="top"/>
          </w:tcPr>
          <w:p w14:paraId="5812B7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518" w:type="dxa"/>
            <w:noWrap w:val="0"/>
            <w:vAlign w:val="top"/>
          </w:tcPr>
          <w:p w14:paraId="490921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团结街</w:t>
            </w:r>
          </w:p>
        </w:tc>
        <w:tc>
          <w:tcPr>
            <w:tcW w:w="3421" w:type="dxa"/>
            <w:noWrap w:val="0"/>
            <w:vAlign w:val="top"/>
          </w:tcPr>
          <w:p w14:paraId="75BD65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八一路 — 隆宇路</w:t>
            </w:r>
          </w:p>
        </w:tc>
        <w:tc>
          <w:tcPr>
            <w:tcW w:w="3494" w:type="dxa"/>
            <w:noWrap w:val="0"/>
            <w:vAlign w:val="top"/>
          </w:tcPr>
          <w:p w14:paraId="72BFBF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阳光上城小区至财政局</w:t>
            </w:r>
          </w:p>
        </w:tc>
      </w:tr>
      <w:tr w14:paraId="6054F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62" w:type="dxa"/>
            <w:noWrap w:val="0"/>
            <w:vAlign w:val="top"/>
          </w:tcPr>
          <w:p w14:paraId="4930B4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1518" w:type="dxa"/>
            <w:noWrap w:val="0"/>
            <w:vAlign w:val="top"/>
          </w:tcPr>
          <w:p w14:paraId="6853D5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利民街</w:t>
            </w:r>
          </w:p>
        </w:tc>
        <w:tc>
          <w:tcPr>
            <w:tcW w:w="3421" w:type="dxa"/>
            <w:noWrap w:val="0"/>
            <w:vAlign w:val="top"/>
          </w:tcPr>
          <w:p w14:paraId="6345671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文化路 — 胜利路</w:t>
            </w:r>
          </w:p>
        </w:tc>
        <w:tc>
          <w:tcPr>
            <w:tcW w:w="3494" w:type="dxa"/>
            <w:noWrap w:val="0"/>
            <w:vAlign w:val="top"/>
          </w:tcPr>
          <w:p w14:paraId="0A93B1D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智发公司至国土资源局</w:t>
            </w:r>
          </w:p>
        </w:tc>
      </w:tr>
      <w:tr w14:paraId="2A27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62" w:type="dxa"/>
            <w:noWrap w:val="0"/>
            <w:vAlign w:val="top"/>
          </w:tcPr>
          <w:p w14:paraId="6C6795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1518" w:type="dxa"/>
            <w:noWrap w:val="0"/>
            <w:vAlign w:val="top"/>
          </w:tcPr>
          <w:p w14:paraId="47D25E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人民大街</w:t>
            </w:r>
          </w:p>
        </w:tc>
        <w:tc>
          <w:tcPr>
            <w:tcW w:w="3421" w:type="dxa"/>
            <w:noWrap w:val="0"/>
            <w:vAlign w:val="top"/>
          </w:tcPr>
          <w:p w14:paraId="32ACA2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八一路 — 站前路</w:t>
            </w:r>
          </w:p>
        </w:tc>
        <w:tc>
          <w:tcPr>
            <w:tcW w:w="3494" w:type="dxa"/>
            <w:noWrap w:val="0"/>
            <w:vAlign w:val="top"/>
          </w:tcPr>
          <w:p w14:paraId="108076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原兽医站至火车站</w:t>
            </w:r>
          </w:p>
        </w:tc>
      </w:tr>
      <w:tr w14:paraId="6D444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62" w:type="dxa"/>
            <w:noWrap w:val="0"/>
            <w:vAlign w:val="top"/>
          </w:tcPr>
          <w:p w14:paraId="2A63AD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1518" w:type="dxa"/>
            <w:noWrap w:val="0"/>
            <w:vAlign w:val="top"/>
          </w:tcPr>
          <w:p w14:paraId="3DB4A4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光华街</w:t>
            </w:r>
          </w:p>
        </w:tc>
        <w:tc>
          <w:tcPr>
            <w:tcW w:w="3421" w:type="dxa"/>
            <w:noWrap w:val="0"/>
            <w:vAlign w:val="top"/>
          </w:tcPr>
          <w:p w14:paraId="15E3F7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文化路 — 前进路</w:t>
            </w:r>
          </w:p>
        </w:tc>
        <w:tc>
          <w:tcPr>
            <w:tcW w:w="3494" w:type="dxa"/>
            <w:noWrap w:val="0"/>
            <w:vAlign w:val="top"/>
          </w:tcPr>
          <w:p w14:paraId="331ED0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印刷厂至农电修理厂</w:t>
            </w:r>
          </w:p>
        </w:tc>
      </w:tr>
      <w:tr w14:paraId="46D5E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62" w:type="dxa"/>
            <w:noWrap w:val="0"/>
            <w:vAlign w:val="top"/>
          </w:tcPr>
          <w:p w14:paraId="3778DF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1518" w:type="dxa"/>
            <w:noWrap w:val="0"/>
            <w:vAlign w:val="top"/>
          </w:tcPr>
          <w:p w14:paraId="32C41B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路</w:t>
            </w:r>
          </w:p>
        </w:tc>
        <w:tc>
          <w:tcPr>
            <w:tcW w:w="3421" w:type="dxa"/>
            <w:noWrap w:val="0"/>
            <w:vAlign w:val="top"/>
          </w:tcPr>
          <w:p w14:paraId="126E8A23">
            <w:pPr>
              <w:keepNext w:val="0"/>
              <w:keepLines w:val="0"/>
              <w:pageBreakBefore w:val="0"/>
              <w:widowControl w:val="0"/>
              <w:kinsoku/>
              <w:wordWrap/>
              <w:overflowPunct/>
              <w:topLinePunct w:val="0"/>
              <w:autoSpaceDE/>
              <w:autoSpaceDN/>
              <w:bidi w:val="0"/>
              <w:adjustRightInd/>
              <w:snapToGrid/>
              <w:spacing w:line="360" w:lineRule="exact"/>
              <w:ind w:firstLine="1120" w:firstLineChars="3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   段</w:t>
            </w:r>
          </w:p>
        </w:tc>
        <w:tc>
          <w:tcPr>
            <w:tcW w:w="3494" w:type="dxa"/>
            <w:noWrap w:val="0"/>
            <w:vAlign w:val="top"/>
          </w:tcPr>
          <w:p w14:paraId="30469063">
            <w:pPr>
              <w:keepNext w:val="0"/>
              <w:keepLines w:val="0"/>
              <w:pageBreakBefore w:val="0"/>
              <w:widowControl w:val="0"/>
              <w:kinsoku/>
              <w:wordWrap/>
              <w:overflowPunct/>
              <w:topLinePunct w:val="0"/>
              <w:autoSpaceDE/>
              <w:autoSpaceDN/>
              <w:bidi w:val="0"/>
              <w:adjustRightInd/>
              <w:snapToGrid/>
              <w:spacing w:line="360" w:lineRule="exact"/>
              <w:ind w:firstLine="1280" w:firstLine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   注</w:t>
            </w:r>
          </w:p>
        </w:tc>
      </w:tr>
      <w:tr w14:paraId="640DE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62" w:type="dxa"/>
            <w:noWrap w:val="0"/>
            <w:vAlign w:val="top"/>
          </w:tcPr>
          <w:p w14:paraId="33BDE3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518" w:type="dxa"/>
            <w:noWrap w:val="0"/>
            <w:vAlign w:val="top"/>
          </w:tcPr>
          <w:p w14:paraId="62F22C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八一路</w:t>
            </w:r>
          </w:p>
        </w:tc>
        <w:tc>
          <w:tcPr>
            <w:tcW w:w="3421" w:type="dxa"/>
            <w:noWrap w:val="0"/>
            <w:vAlign w:val="top"/>
          </w:tcPr>
          <w:p w14:paraId="2E0AE2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人民大街 — 繁荣大街</w:t>
            </w:r>
          </w:p>
        </w:tc>
        <w:tc>
          <w:tcPr>
            <w:tcW w:w="3494" w:type="dxa"/>
            <w:noWrap w:val="0"/>
            <w:vAlign w:val="top"/>
          </w:tcPr>
          <w:p w14:paraId="2C409F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原兽医站至原林产品公司</w:t>
            </w:r>
          </w:p>
        </w:tc>
      </w:tr>
      <w:tr w14:paraId="121E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962" w:type="dxa"/>
            <w:noWrap w:val="0"/>
            <w:vAlign w:val="top"/>
          </w:tcPr>
          <w:p w14:paraId="081989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518" w:type="dxa"/>
            <w:noWrap w:val="0"/>
            <w:vAlign w:val="top"/>
          </w:tcPr>
          <w:p w14:paraId="02011C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隆宇路</w:t>
            </w:r>
          </w:p>
        </w:tc>
        <w:tc>
          <w:tcPr>
            <w:tcW w:w="3421" w:type="dxa"/>
            <w:noWrap w:val="0"/>
            <w:vAlign w:val="top"/>
          </w:tcPr>
          <w:p w14:paraId="390CCB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人民大街 — 繁荣大街</w:t>
            </w:r>
          </w:p>
        </w:tc>
        <w:tc>
          <w:tcPr>
            <w:tcW w:w="3494" w:type="dxa"/>
            <w:noWrap w:val="0"/>
            <w:vAlign w:val="top"/>
          </w:tcPr>
          <w:p w14:paraId="1E4D38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隆宇大厦至原东北煤厂东</w:t>
            </w:r>
          </w:p>
        </w:tc>
      </w:tr>
      <w:tr w14:paraId="744BC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62" w:type="dxa"/>
            <w:noWrap w:val="0"/>
            <w:vAlign w:val="top"/>
          </w:tcPr>
          <w:p w14:paraId="0FEC49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1518" w:type="dxa"/>
            <w:noWrap w:val="0"/>
            <w:vAlign w:val="top"/>
          </w:tcPr>
          <w:p w14:paraId="4AAF99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北环路</w:t>
            </w:r>
          </w:p>
        </w:tc>
        <w:tc>
          <w:tcPr>
            <w:tcW w:w="3421" w:type="dxa"/>
            <w:noWrap w:val="0"/>
            <w:vAlign w:val="top"/>
          </w:tcPr>
          <w:p w14:paraId="16069F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阜彰路 — 玉龙路</w:t>
            </w:r>
          </w:p>
        </w:tc>
        <w:tc>
          <w:tcPr>
            <w:tcW w:w="3494" w:type="dxa"/>
            <w:noWrap w:val="0"/>
            <w:vAlign w:val="top"/>
          </w:tcPr>
          <w:p w14:paraId="20ACB6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阿金歹桥西至工业园区</w:t>
            </w:r>
          </w:p>
        </w:tc>
      </w:tr>
      <w:tr w14:paraId="10DA4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62" w:type="dxa"/>
            <w:noWrap w:val="0"/>
            <w:vAlign w:val="top"/>
          </w:tcPr>
          <w:p w14:paraId="59F2772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1518" w:type="dxa"/>
            <w:noWrap w:val="0"/>
            <w:vAlign w:val="top"/>
          </w:tcPr>
          <w:p w14:paraId="215AA7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大众路</w:t>
            </w:r>
          </w:p>
        </w:tc>
        <w:tc>
          <w:tcPr>
            <w:tcW w:w="3421" w:type="dxa"/>
            <w:noWrap w:val="0"/>
            <w:vAlign w:val="top"/>
          </w:tcPr>
          <w:p w14:paraId="12CDD8D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人民大街 — 民族街</w:t>
            </w:r>
          </w:p>
        </w:tc>
        <w:tc>
          <w:tcPr>
            <w:tcW w:w="3494" w:type="dxa"/>
            <w:noWrap w:val="0"/>
            <w:vAlign w:val="top"/>
          </w:tcPr>
          <w:p w14:paraId="586A19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政府小区至清真寺</w:t>
            </w:r>
          </w:p>
        </w:tc>
      </w:tr>
      <w:tr w14:paraId="56261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62" w:type="dxa"/>
            <w:noWrap w:val="0"/>
            <w:vAlign w:val="top"/>
          </w:tcPr>
          <w:p w14:paraId="1A66EA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1518" w:type="dxa"/>
            <w:noWrap w:val="0"/>
            <w:vAlign w:val="top"/>
          </w:tcPr>
          <w:p w14:paraId="6BA67C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向阳路</w:t>
            </w:r>
          </w:p>
        </w:tc>
        <w:tc>
          <w:tcPr>
            <w:tcW w:w="3421" w:type="dxa"/>
            <w:noWrap w:val="0"/>
            <w:vAlign w:val="top"/>
          </w:tcPr>
          <w:p w14:paraId="677D346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人民大街 — 团结街</w:t>
            </w:r>
          </w:p>
        </w:tc>
        <w:tc>
          <w:tcPr>
            <w:tcW w:w="3494" w:type="dxa"/>
            <w:noWrap w:val="0"/>
            <w:vAlign w:val="top"/>
          </w:tcPr>
          <w:p w14:paraId="3CCFC9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县人大北侧</w:t>
            </w:r>
          </w:p>
        </w:tc>
      </w:tr>
      <w:tr w14:paraId="3C13E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62" w:type="dxa"/>
            <w:noWrap w:val="0"/>
            <w:vAlign w:val="top"/>
          </w:tcPr>
          <w:p w14:paraId="179C55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1518" w:type="dxa"/>
            <w:noWrap w:val="0"/>
            <w:vAlign w:val="top"/>
          </w:tcPr>
          <w:p w14:paraId="09E3AF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文化路</w:t>
            </w:r>
          </w:p>
        </w:tc>
        <w:tc>
          <w:tcPr>
            <w:tcW w:w="3421" w:type="dxa"/>
            <w:noWrap w:val="0"/>
            <w:vAlign w:val="top"/>
          </w:tcPr>
          <w:p w14:paraId="3C4B8D1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文化路东段 — 中华路</w:t>
            </w:r>
          </w:p>
        </w:tc>
        <w:tc>
          <w:tcPr>
            <w:tcW w:w="3494" w:type="dxa"/>
            <w:noWrap w:val="0"/>
            <w:vAlign w:val="top"/>
          </w:tcPr>
          <w:p w14:paraId="01EA5E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二高中至工业园区</w:t>
            </w:r>
          </w:p>
        </w:tc>
      </w:tr>
      <w:tr w14:paraId="7D193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62" w:type="dxa"/>
            <w:noWrap w:val="0"/>
            <w:vAlign w:val="top"/>
          </w:tcPr>
          <w:p w14:paraId="17E687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p>
        </w:tc>
        <w:tc>
          <w:tcPr>
            <w:tcW w:w="1518" w:type="dxa"/>
            <w:noWrap w:val="0"/>
            <w:vAlign w:val="top"/>
          </w:tcPr>
          <w:p w14:paraId="2D6341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爱国路</w:t>
            </w:r>
          </w:p>
        </w:tc>
        <w:tc>
          <w:tcPr>
            <w:tcW w:w="3421" w:type="dxa"/>
            <w:noWrap w:val="0"/>
            <w:vAlign w:val="top"/>
          </w:tcPr>
          <w:p w14:paraId="55F6EF2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人民大街 — 光华街</w:t>
            </w:r>
          </w:p>
        </w:tc>
        <w:tc>
          <w:tcPr>
            <w:tcW w:w="3494" w:type="dxa"/>
            <w:noWrap w:val="0"/>
            <w:vAlign w:val="top"/>
          </w:tcPr>
          <w:p w14:paraId="2130A4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信通小区至阳光小区</w:t>
            </w:r>
          </w:p>
        </w:tc>
      </w:tr>
      <w:tr w14:paraId="36F18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62" w:type="dxa"/>
            <w:noWrap w:val="0"/>
            <w:vAlign w:val="top"/>
          </w:tcPr>
          <w:p w14:paraId="158630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p>
        </w:tc>
        <w:tc>
          <w:tcPr>
            <w:tcW w:w="1518" w:type="dxa"/>
            <w:noWrap w:val="0"/>
            <w:vAlign w:val="top"/>
          </w:tcPr>
          <w:p w14:paraId="156DBC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工农路</w:t>
            </w:r>
          </w:p>
        </w:tc>
        <w:tc>
          <w:tcPr>
            <w:tcW w:w="3421" w:type="dxa"/>
            <w:noWrap w:val="0"/>
            <w:vAlign w:val="top"/>
          </w:tcPr>
          <w:p w14:paraId="1E62620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南环东引路</w:t>
            </w:r>
            <w:r>
              <w:rPr>
                <w:rFonts w:hint="eastAsia" w:ascii="仿宋_GB2312" w:hAnsi="仿宋_GB2312" w:eastAsia="仿宋_GB2312" w:cs="仿宋_GB2312"/>
                <w:sz w:val="32"/>
                <w:szCs w:val="32"/>
              </w:rPr>
              <w:t xml:space="preserve"> — </w:t>
            </w:r>
            <w:r>
              <w:rPr>
                <w:rFonts w:hint="eastAsia" w:ascii="仿宋_GB2312" w:hAnsi="仿宋_GB2312" w:eastAsia="仿宋_GB2312" w:cs="仿宋_GB2312"/>
                <w:spacing w:val="-14"/>
                <w:sz w:val="32"/>
                <w:szCs w:val="32"/>
              </w:rPr>
              <w:t>职教中心</w:t>
            </w:r>
          </w:p>
        </w:tc>
        <w:tc>
          <w:tcPr>
            <w:tcW w:w="3494" w:type="dxa"/>
            <w:noWrap w:val="0"/>
            <w:vAlign w:val="top"/>
          </w:tcPr>
          <w:p w14:paraId="0D3B3C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供电公司至职教中心</w:t>
            </w:r>
          </w:p>
        </w:tc>
      </w:tr>
      <w:tr w14:paraId="71BAF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62" w:type="dxa"/>
            <w:noWrap w:val="0"/>
            <w:vAlign w:val="top"/>
          </w:tcPr>
          <w:p w14:paraId="2A6B34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p>
        </w:tc>
        <w:tc>
          <w:tcPr>
            <w:tcW w:w="1518" w:type="dxa"/>
            <w:noWrap w:val="0"/>
            <w:vAlign w:val="top"/>
          </w:tcPr>
          <w:p w14:paraId="0144D8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教育路</w:t>
            </w:r>
          </w:p>
        </w:tc>
        <w:tc>
          <w:tcPr>
            <w:tcW w:w="3421" w:type="dxa"/>
            <w:noWrap w:val="0"/>
            <w:vAlign w:val="top"/>
          </w:tcPr>
          <w:p w14:paraId="715000FF">
            <w:pPr>
              <w:keepNext w:val="0"/>
              <w:keepLines w:val="0"/>
              <w:pageBreakBefore w:val="0"/>
              <w:widowControl w:val="0"/>
              <w:kinsoku/>
              <w:wordWrap/>
              <w:overflowPunct/>
              <w:topLinePunct w:val="0"/>
              <w:autoSpaceDE/>
              <w:autoSpaceDN/>
              <w:bidi w:val="0"/>
              <w:adjustRightInd/>
              <w:snapToGrid/>
              <w:spacing w:line="360" w:lineRule="exact"/>
              <w:ind w:firstLine="160" w:firstLineChars="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中华路 — 教育路</w:t>
            </w:r>
          </w:p>
        </w:tc>
        <w:tc>
          <w:tcPr>
            <w:tcW w:w="3494" w:type="dxa"/>
            <w:noWrap w:val="0"/>
            <w:vAlign w:val="top"/>
          </w:tcPr>
          <w:p w14:paraId="6E7C45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原机械厂至蒙古高中</w:t>
            </w:r>
          </w:p>
        </w:tc>
      </w:tr>
      <w:tr w14:paraId="7357D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62" w:type="dxa"/>
            <w:noWrap w:val="0"/>
            <w:vAlign w:val="top"/>
          </w:tcPr>
          <w:p w14:paraId="4629B5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p>
        </w:tc>
        <w:tc>
          <w:tcPr>
            <w:tcW w:w="1518" w:type="dxa"/>
            <w:noWrap w:val="0"/>
            <w:vAlign w:val="top"/>
          </w:tcPr>
          <w:p w14:paraId="1DF3BE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胜利路</w:t>
            </w:r>
          </w:p>
        </w:tc>
        <w:tc>
          <w:tcPr>
            <w:tcW w:w="3421" w:type="dxa"/>
            <w:noWrap w:val="0"/>
            <w:vAlign w:val="top"/>
          </w:tcPr>
          <w:p w14:paraId="18FC9E3C">
            <w:pPr>
              <w:keepNext w:val="0"/>
              <w:keepLines w:val="0"/>
              <w:pageBreakBefore w:val="0"/>
              <w:widowControl w:val="0"/>
              <w:kinsoku/>
              <w:wordWrap/>
              <w:overflowPunct/>
              <w:topLinePunct w:val="0"/>
              <w:autoSpaceDE/>
              <w:autoSpaceDN/>
              <w:bidi w:val="0"/>
              <w:adjustRightInd/>
              <w:snapToGrid/>
              <w:spacing w:line="360" w:lineRule="exact"/>
              <w:ind w:firstLine="160" w:firstLineChars="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团结街 — 光华街</w:t>
            </w:r>
          </w:p>
        </w:tc>
        <w:tc>
          <w:tcPr>
            <w:tcW w:w="3494" w:type="dxa"/>
            <w:noWrap w:val="0"/>
            <w:vAlign w:val="top"/>
          </w:tcPr>
          <w:p w14:paraId="3C992B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镇幼至阳光小区</w:t>
            </w:r>
          </w:p>
        </w:tc>
      </w:tr>
      <w:tr w14:paraId="5DF02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62" w:type="dxa"/>
            <w:noWrap w:val="0"/>
            <w:vAlign w:val="top"/>
          </w:tcPr>
          <w:p w14:paraId="1EF56B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w:t>
            </w:r>
          </w:p>
        </w:tc>
        <w:tc>
          <w:tcPr>
            <w:tcW w:w="1518" w:type="dxa"/>
            <w:noWrap w:val="0"/>
            <w:vAlign w:val="top"/>
          </w:tcPr>
          <w:p w14:paraId="1BD75A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建设路</w:t>
            </w:r>
          </w:p>
        </w:tc>
        <w:tc>
          <w:tcPr>
            <w:tcW w:w="3421" w:type="dxa"/>
            <w:noWrap w:val="0"/>
            <w:vAlign w:val="top"/>
          </w:tcPr>
          <w:p w14:paraId="796F25E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人民大街 — 民族街</w:t>
            </w:r>
          </w:p>
        </w:tc>
        <w:tc>
          <w:tcPr>
            <w:tcW w:w="3494" w:type="dxa"/>
            <w:noWrap w:val="0"/>
            <w:vAlign w:val="top"/>
          </w:tcPr>
          <w:p w14:paraId="11AE69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法院至蒙实小</w:t>
            </w:r>
          </w:p>
        </w:tc>
      </w:tr>
      <w:tr w14:paraId="697FE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62" w:type="dxa"/>
            <w:noWrap w:val="0"/>
            <w:vAlign w:val="top"/>
          </w:tcPr>
          <w:p w14:paraId="3B278F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w:t>
            </w:r>
          </w:p>
        </w:tc>
        <w:tc>
          <w:tcPr>
            <w:tcW w:w="1518" w:type="dxa"/>
            <w:noWrap w:val="0"/>
            <w:vAlign w:val="top"/>
          </w:tcPr>
          <w:p w14:paraId="79CD02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前进路</w:t>
            </w:r>
          </w:p>
        </w:tc>
        <w:tc>
          <w:tcPr>
            <w:tcW w:w="3421" w:type="dxa"/>
            <w:noWrap w:val="0"/>
            <w:vAlign w:val="top"/>
          </w:tcPr>
          <w:p w14:paraId="4E801D4F">
            <w:pPr>
              <w:keepNext w:val="0"/>
              <w:keepLines w:val="0"/>
              <w:pageBreakBefore w:val="0"/>
              <w:widowControl w:val="0"/>
              <w:kinsoku/>
              <w:wordWrap/>
              <w:overflowPunct/>
              <w:topLinePunct w:val="0"/>
              <w:autoSpaceDE/>
              <w:autoSpaceDN/>
              <w:bidi w:val="0"/>
              <w:adjustRightInd/>
              <w:snapToGrid/>
              <w:spacing w:line="360" w:lineRule="exact"/>
              <w:ind w:firstLine="160" w:firstLineChars="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团结街 — 民族街</w:t>
            </w:r>
          </w:p>
        </w:tc>
        <w:tc>
          <w:tcPr>
            <w:tcW w:w="3494" w:type="dxa"/>
            <w:noWrap w:val="0"/>
            <w:vAlign w:val="top"/>
          </w:tcPr>
          <w:p w14:paraId="41CE4F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住建局至蒙实小</w:t>
            </w:r>
          </w:p>
        </w:tc>
      </w:tr>
      <w:tr w14:paraId="28A35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62" w:type="dxa"/>
            <w:noWrap w:val="0"/>
            <w:vAlign w:val="top"/>
          </w:tcPr>
          <w:p w14:paraId="293474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w:t>
            </w:r>
          </w:p>
        </w:tc>
        <w:tc>
          <w:tcPr>
            <w:tcW w:w="1518" w:type="dxa"/>
            <w:noWrap w:val="0"/>
            <w:vAlign w:val="top"/>
          </w:tcPr>
          <w:p w14:paraId="6F47A4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南环东西引路</w:t>
            </w:r>
          </w:p>
        </w:tc>
        <w:tc>
          <w:tcPr>
            <w:tcW w:w="3421" w:type="dxa"/>
            <w:noWrap w:val="0"/>
            <w:vAlign w:val="top"/>
          </w:tcPr>
          <w:p w14:paraId="744991C7">
            <w:pPr>
              <w:keepNext w:val="0"/>
              <w:keepLines w:val="0"/>
              <w:pageBreakBefore w:val="0"/>
              <w:widowControl w:val="0"/>
              <w:kinsoku/>
              <w:wordWrap/>
              <w:overflowPunct/>
              <w:topLinePunct w:val="0"/>
              <w:autoSpaceDE/>
              <w:autoSpaceDN/>
              <w:bidi w:val="0"/>
              <w:adjustRightInd/>
              <w:snapToGrid/>
              <w:spacing w:line="360" w:lineRule="exact"/>
              <w:ind w:firstLine="160" w:firstLineChars="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中华路 — 工农路</w:t>
            </w:r>
          </w:p>
        </w:tc>
        <w:tc>
          <w:tcPr>
            <w:tcW w:w="3494" w:type="dxa"/>
            <w:noWrap w:val="0"/>
            <w:vAlign w:val="top"/>
          </w:tcPr>
          <w:p w14:paraId="751AA7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烟叶公司至农电局</w:t>
            </w:r>
          </w:p>
        </w:tc>
      </w:tr>
    </w:tbl>
    <w:p w14:paraId="4829BE3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rFonts w:hint="eastAsia" w:ascii="仿宋_GB2312" w:hAnsi="仿宋_GB2312" w:eastAsia="仿宋_GB2312" w:cs="仿宋_GB2312"/>
          <w:i w:val="0"/>
          <w:caps w:val="0"/>
          <w:color w:val="333333"/>
          <w:spacing w:val="0"/>
          <w:sz w:val="32"/>
          <w:szCs w:val="32"/>
          <w:shd w:val="clear"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841DA">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61FE7E3">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361FE7E3">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09BC96C5">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阜新蒙古族自治县人民政府发布     </w:t>
    </w:r>
  </w:p>
  <w:p w14:paraId="01253897">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A1C5B">
    <w:pPr>
      <w:pStyle w:val="5"/>
      <w:textAlignment w:val="center"/>
      <w:rPr>
        <w:rFonts w:ascii="宋体" w:hAnsi="宋体" w:eastAsia="宋体" w:cs="宋体"/>
        <w:b/>
        <w:bCs/>
        <w:color w:val="005192"/>
        <w:sz w:val="32"/>
      </w:rPr>
    </w:pPr>
    <w:r>
      <w:rPr>
        <w:rFonts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14:paraId="539FF7C5">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阜新蒙古族自治县人民政府</w:t>
    </w:r>
    <w:r>
      <w:rPr>
        <w:rFonts w:hint="eastAsia" w:ascii="宋体" w:hAnsi="宋体" w:eastAsia="宋体" w:cs="宋体"/>
        <w:b/>
        <w:bCs/>
        <w:color w:val="005192"/>
        <w:sz w:val="32"/>
        <w:szCs w:val="32"/>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47FAF"/>
    <w:rsid w:val="00172A27"/>
    <w:rsid w:val="00250E25"/>
    <w:rsid w:val="003764A5"/>
    <w:rsid w:val="00660B23"/>
    <w:rsid w:val="00A11211"/>
    <w:rsid w:val="019E71BD"/>
    <w:rsid w:val="04B679C3"/>
    <w:rsid w:val="07417A70"/>
    <w:rsid w:val="080F63D8"/>
    <w:rsid w:val="09341458"/>
    <w:rsid w:val="0ACB2D46"/>
    <w:rsid w:val="0B0912D7"/>
    <w:rsid w:val="152D2DCA"/>
    <w:rsid w:val="1DEC284C"/>
    <w:rsid w:val="1E6523AC"/>
    <w:rsid w:val="22440422"/>
    <w:rsid w:val="24D75076"/>
    <w:rsid w:val="31A15F24"/>
    <w:rsid w:val="395347B5"/>
    <w:rsid w:val="39A232A0"/>
    <w:rsid w:val="39E745AA"/>
    <w:rsid w:val="3B5A6BBB"/>
    <w:rsid w:val="3EDA13A6"/>
    <w:rsid w:val="3FA87C99"/>
    <w:rsid w:val="3FDB409A"/>
    <w:rsid w:val="42F058B7"/>
    <w:rsid w:val="436109F6"/>
    <w:rsid w:val="441A38D4"/>
    <w:rsid w:val="4BC77339"/>
    <w:rsid w:val="4C9236C5"/>
    <w:rsid w:val="505C172E"/>
    <w:rsid w:val="52F46F0B"/>
    <w:rsid w:val="53D8014D"/>
    <w:rsid w:val="55E064E0"/>
    <w:rsid w:val="572C6D10"/>
    <w:rsid w:val="575E0554"/>
    <w:rsid w:val="5DC34279"/>
    <w:rsid w:val="608816D1"/>
    <w:rsid w:val="60EF4E7F"/>
    <w:rsid w:val="665233C1"/>
    <w:rsid w:val="67F1149D"/>
    <w:rsid w:val="6AD9688B"/>
    <w:rsid w:val="6D0E3F22"/>
    <w:rsid w:val="6EF2B810"/>
    <w:rsid w:val="77D8EABF"/>
    <w:rsid w:val="7C9011D9"/>
    <w:rsid w:val="7DC651C5"/>
    <w:rsid w:val="7FCC2834"/>
    <w:rsid w:val="7FEF6396"/>
    <w:rsid w:val="7FEF9E29"/>
    <w:rsid w:val="9FA5302A"/>
    <w:rsid w:val="B8F96438"/>
    <w:rsid w:val="BFBB6B77"/>
    <w:rsid w:val="CDB998C1"/>
    <w:rsid w:val="EFDD6373"/>
    <w:rsid w:val="EFFEC614"/>
    <w:rsid w:val="FFEF5A70"/>
    <w:rsid w:val="FFFE4A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75" w:after="75"/>
      <w:jc w:val="left"/>
    </w:pPr>
    <w:rPr>
      <w:rFonts w:cs="Times New Roman"/>
      <w:kern w:val="0"/>
      <w:sz w:val="24"/>
    </w:rPr>
  </w:style>
  <w:style w:type="table" w:styleId="8">
    <w:name w:val="Table Grid"/>
    <w:basedOn w:val="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bCs/>
    </w:rPr>
  </w:style>
  <w:style w:type="character" w:styleId="11">
    <w:name w:val="page number"/>
    <w:basedOn w:val="9"/>
    <w:qFormat/>
    <w:uiPriority w:val="0"/>
  </w:style>
  <w:style w:type="character" w:customStyle="1" w:styleId="12">
    <w:name w:val="批注框文本 Char"/>
    <w:basedOn w:val="9"/>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12</Pages>
  <Words>3260</Words>
  <Characters>3374</Characters>
  <Lines>42</Lines>
  <Paragraphs>11</Paragraphs>
  <TotalTime>2</TotalTime>
  <ScaleCrop>false</ScaleCrop>
  <LinksUpToDate>false</LinksUpToDate>
  <CharactersWithSpaces>3594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2021-12-23T16:45:00Z</dcterms:created>
  <dc:creator>t</dc:creator>
  <cp:lastModifiedBy>勇敢的心</cp:lastModifiedBy>
  <cp:lastPrinted>2021-10-29T19:30:00Z</cp:lastPrinted>
  <dcterms:modified xsi:type="dcterms:W3CDTF">2026-01-20T02:34:44Z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48C61CB29D3F4D9384F5922CF0F7FFB4</vt:lpwstr>
  </property>
  <property fmtid="{D5CDD505-2E9C-101B-9397-08002B2CF9AE}" pid="4" name="KSOTemplateDocerSaveRecord">
    <vt:lpwstr>eyJoZGlkIjoiZGNjM2M2OWQxODJmMGM2NDE0M2RmZTk3Yjc3YmZiNTAiLCJ1c2VySWQiOiI1MTE4ODgxMjAifQ==</vt:lpwstr>
  </property>
</Properties>
</file>