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6CA480">
      <w:pPr>
        <w:spacing w:line="580" w:lineRule="exact"/>
        <w:jc w:val="center"/>
        <w:rPr>
          <w:rFonts w:cs="仿宋_GB2312" w:asciiTheme="minorEastAsia" w:hAnsiTheme="minorEastAsia" w:eastAsiaTheme="minorEastAsia"/>
          <w:sz w:val="32"/>
          <w:szCs w:val="32"/>
        </w:rPr>
      </w:pPr>
      <w:bookmarkStart w:id="0" w:name="_GoBack"/>
      <w:bookmarkEnd w:id="0"/>
      <w:r>
        <w:rPr>
          <w:rFonts w:cs="仿宋_GB2312" w:asciiTheme="minorEastAsia" w:hAnsiTheme="minorEastAsia" w:eastAsiaTheme="minorEastAsia"/>
          <w:sz w:val="32"/>
          <w:szCs w:val="32"/>
        </w:rPr>
        <w:pict>
          <v:line id="直线 2" o:spid="_x0000_s2051" o:spt="20" style="position:absolute;left:0pt;margin-left:0pt;margin-top:2.95pt;height:0pt;width:442.2pt;z-index:251659264;mso-width-relative:page;mso-height-relative:page;" stroked="t" coordsize="21600,21600">
            <v:path arrowok="t"/>
            <v:fill focussize="0,0"/>
            <v:stroke weight="1pt" color="#FFFFFF"/>
            <v:imagedata o:title=""/>
            <o:lock v:ext="edit"/>
          </v:line>
        </w:pict>
      </w:r>
    </w:p>
    <w:p w14:paraId="6525813A">
      <w:pPr>
        <w:spacing w:line="580" w:lineRule="exact"/>
        <w:jc w:val="center"/>
        <w:rPr>
          <w:rFonts w:cs="方正小标宋简体" w:asciiTheme="minorEastAsia" w:hAnsiTheme="minorEastAsia" w:eastAsiaTheme="minorEastAsia"/>
          <w:sz w:val="44"/>
          <w:szCs w:val="44"/>
        </w:rPr>
      </w:pPr>
      <w:r>
        <w:rPr>
          <w:rFonts w:cs="方正小标宋简体" w:asciiTheme="minorEastAsia" w:hAnsiTheme="minorEastAsia" w:eastAsiaTheme="minorEastAsia"/>
          <w:sz w:val="44"/>
          <w:szCs w:val="44"/>
        </w:rPr>
        <w:t>阜新蒙古族自治县</w:t>
      </w:r>
      <w:r>
        <w:rPr>
          <w:rFonts w:hint="eastAsia" w:cs="方正小标宋简体" w:asciiTheme="minorEastAsia" w:hAnsiTheme="minorEastAsia" w:eastAsiaTheme="minorEastAsia"/>
          <w:sz w:val="44"/>
          <w:szCs w:val="44"/>
        </w:rPr>
        <w:t>人民政府关于取消承接</w:t>
      </w:r>
    </w:p>
    <w:p w14:paraId="43D5EBE3">
      <w:pPr>
        <w:spacing w:line="580" w:lineRule="exact"/>
        <w:jc w:val="center"/>
        <w:rPr>
          <w:rFonts w:cs="方正小标宋简体" w:asciiTheme="minorEastAsia" w:hAnsiTheme="minorEastAsia" w:eastAsiaTheme="minorEastAsia"/>
          <w:sz w:val="44"/>
          <w:szCs w:val="44"/>
        </w:rPr>
      </w:pPr>
      <w:r>
        <w:rPr>
          <w:rFonts w:hint="eastAsia" w:cs="方正小标宋简体" w:asciiTheme="minorEastAsia" w:hAnsiTheme="minorEastAsia" w:eastAsiaTheme="minorEastAsia"/>
          <w:sz w:val="44"/>
          <w:szCs w:val="44"/>
        </w:rPr>
        <w:t>调整一批行政职权事项的决定</w:t>
      </w:r>
    </w:p>
    <w:p w14:paraId="01C4A5B6">
      <w:pPr>
        <w:spacing w:line="580" w:lineRule="exact"/>
        <w:jc w:val="center"/>
        <w:rPr>
          <w:rFonts w:ascii="方正小标宋简体" w:hAnsi="方正小标宋简体" w:eastAsia="方正小标宋简体" w:cs="方正小标宋简体"/>
          <w:sz w:val="44"/>
          <w:szCs w:val="44"/>
        </w:rPr>
      </w:pPr>
    </w:p>
    <w:p w14:paraId="45C26493">
      <w:pPr>
        <w:spacing w:line="580" w:lineRule="exact"/>
        <w:jc w:val="center"/>
        <w:rPr>
          <w:rFonts w:ascii="仿宋_GB2312" w:hAnsi="仿宋_GB2312" w:eastAsia="仿宋_GB2312" w:cs="仿宋_GB2312"/>
          <w:sz w:val="32"/>
          <w:szCs w:val="32"/>
        </w:rPr>
      </w:pPr>
      <w:r>
        <w:rPr>
          <w:rFonts w:ascii="仿宋_GB2312" w:hAnsi="仿宋_GB2312" w:eastAsia="仿宋_GB2312" w:cs="仿宋_GB2312"/>
          <w:sz w:val="32"/>
          <w:szCs w:val="32"/>
        </w:rPr>
        <w:t>阜蒙政发〔2022〕2号</w:t>
      </w:r>
    </w:p>
    <w:p w14:paraId="258C9936">
      <w:pPr>
        <w:spacing w:line="580" w:lineRule="exact"/>
        <w:rPr>
          <w:rFonts w:ascii="仿宋_GB2312" w:hAnsi="仿宋_GB2312" w:eastAsia="仿宋_GB2312" w:cs="仿宋_GB2312"/>
          <w:sz w:val="32"/>
          <w:szCs w:val="32"/>
        </w:rPr>
      </w:pPr>
    </w:p>
    <w:p w14:paraId="36D411C1">
      <w:pPr>
        <w:spacing w:line="58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县直各部门：</w:t>
      </w:r>
    </w:p>
    <w:p w14:paraId="7BA61A47">
      <w:pPr>
        <w:spacing w:line="580" w:lineRule="exact"/>
        <w:ind w:firstLine="645"/>
        <w:rPr>
          <w:rFonts w:ascii="仿宋_GB2312" w:hAnsi="仿宋_GB2312" w:eastAsia="仿宋_GB2312" w:cs="仿宋_GB2312"/>
          <w:sz w:val="32"/>
          <w:szCs w:val="32"/>
        </w:rPr>
      </w:pPr>
      <w:r>
        <w:rPr>
          <w:rFonts w:hint="eastAsia" w:ascii="仿宋_GB2312" w:hAnsi="仿宋_GB2312" w:eastAsia="仿宋_GB2312" w:cs="仿宋_GB2312"/>
          <w:sz w:val="32"/>
          <w:szCs w:val="32"/>
        </w:rPr>
        <w:t>根据《阜新市人民政府关于取消下放调整一批行政职权事项的决定》(阜政发</w:t>
      </w:r>
      <w:r>
        <w:rPr>
          <w:rFonts w:ascii="仿宋_GB2312" w:hAnsi="仿宋_GB2312" w:eastAsia="仿宋_GB2312" w:cs="仿宋_GB2312"/>
          <w:sz w:val="32"/>
          <w:szCs w:val="32"/>
        </w:rPr>
        <w:t>〔</w:t>
      </w:r>
      <w:r>
        <w:rPr>
          <w:rFonts w:hint="eastAsia" w:ascii="仿宋_GB2312" w:hAnsi="仿宋_GB2312" w:eastAsia="仿宋_GB2312" w:cs="仿宋_GB2312"/>
          <w:sz w:val="32"/>
          <w:szCs w:val="32"/>
        </w:rPr>
        <w:t>2021</w:t>
      </w:r>
      <w:r>
        <w:rPr>
          <w:rFonts w:ascii="仿宋_GB2312" w:hAnsi="仿宋_GB2312" w:eastAsia="仿宋_GB2312" w:cs="仿宋_GB2312"/>
          <w:sz w:val="32"/>
          <w:szCs w:val="32"/>
        </w:rPr>
        <w:t>〕</w:t>
      </w:r>
      <w:r>
        <w:rPr>
          <w:rFonts w:hint="eastAsia" w:ascii="仿宋_GB2312" w:hAnsi="仿宋_GB2312" w:eastAsia="仿宋_GB2312" w:cs="仿宋_GB2312"/>
          <w:sz w:val="32"/>
          <w:szCs w:val="32"/>
        </w:rPr>
        <w:t>10号)精神，</w:t>
      </w:r>
      <w:r>
        <w:rPr>
          <w:rFonts w:ascii="仿宋_GB2312" w:hAnsi="仿宋_GB2312" w:eastAsia="仿宋_GB2312" w:cs="仿宋_GB2312"/>
          <w:sz w:val="32"/>
          <w:szCs w:val="32"/>
        </w:rPr>
        <w:t>经县政府研究</w:t>
      </w:r>
      <w:r>
        <w:rPr>
          <w:rFonts w:hint="eastAsia" w:ascii="仿宋_GB2312" w:hAnsi="仿宋_GB2312" w:eastAsia="仿宋_GB2312" w:cs="仿宋_GB2312"/>
          <w:sz w:val="32"/>
          <w:szCs w:val="32"/>
        </w:rPr>
        <w:t>决定</w:t>
      </w:r>
      <w:r>
        <w:rPr>
          <w:rFonts w:ascii="仿宋_GB2312" w:hAnsi="仿宋_GB2312" w:eastAsia="仿宋_GB2312" w:cs="仿宋_GB2312"/>
          <w:sz w:val="32"/>
          <w:szCs w:val="32"/>
        </w:rPr>
        <w:t>，</w:t>
      </w:r>
      <w:r>
        <w:rPr>
          <w:rFonts w:hint="eastAsia" w:ascii="仿宋_GB2312" w:hAnsi="仿宋_GB2312" w:eastAsia="仿宋_GB2312" w:cs="仿宋_GB2312"/>
          <w:sz w:val="32"/>
          <w:szCs w:val="32"/>
        </w:rPr>
        <w:t>取消承接调整一批行政职权31项。其中，取消6项，承接21项，调整至市直相关部门行使职权3项，因法律法规增加行政职权事项1项。相关行政职权事项目录将通过政府门户网站向社会公布。</w:t>
      </w:r>
    </w:p>
    <w:p w14:paraId="047541CC">
      <w:pPr>
        <w:spacing w:line="580" w:lineRule="exact"/>
        <w:ind w:firstLine="645"/>
        <w:rPr>
          <w:rFonts w:ascii="仿宋_GB2312" w:hAnsi="仿宋_GB2312" w:eastAsia="仿宋_GB2312" w:cs="仿宋_GB2312"/>
          <w:sz w:val="32"/>
          <w:szCs w:val="32"/>
        </w:rPr>
      </w:pPr>
      <w:r>
        <w:rPr>
          <w:rFonts w:hint="eastAsia" w:ascii="仿宋_GB2312" w:hAnsi="仿宋_GB2312" w:eastAsia="仿宋_GB2312" w:cs="仿宋_GB2312"/>
          <w:sz w:val="32"/>
          <w:szCs w:val="32"/>
        </w:rPr>
        <w:t>各部门要做好取消承接调整行政职权事项的衔接落实工作。对取消的行政职权，不得以任何方式继续行使，同时，要制定有效措施加强事中事后监管；对承接的行政职权，相关部门要认真做好衔接，确保协同、配套，并加强对相关人员的指导培训和技术支持，确保接得住、落得实；对调整管理方式的事项，要简化办事环节，提高行政效率；对新增的行政职权，相关部门要及时编制公开办事指南，优化办事流程，精简申请要件，压缩办理时限，提高办事效率。</w:t>
      </w:r>
    </w:p>
    <w:p w14:paraId="20660988">
      <w:pPr>
        <w:spacing w:line="580" w:lineRule="exact"/>
        <w:ind w:firstLine="645"/>
        <w:rPr>
          <w:rFonts w:ascii="仿宋_GB2312" w:hAnsi="仿宋_GB2312" w:eastAsia="仿宋_GB2312" w:cs="仿宋_GB2312"/>
          <w:sz w:val="32"/>
          <w:szCs w:val="32"/>
        </w:rPr>
      </w:pPr>
    </w:p>
    <w:p w14:paraId="6DB85FBA">
      <w:pPr>
        <w:spacing w:line="580" w:lineRule="exact"/>
        <w:ind w:firstLine="645"/>
        <w:rPr>
          <w:rFonts w:ascii="仿宋_GB2312" w:hAnsi="仿宋_GB2312" w:eastAsia="仿宋_GB2312" w:cs="仿宋_GB2312"/>
          <w:sz w:val="32"/>
          <w:szCs w:val="32"/>
        </w:rPr>
      </w:pPr>
    </w:p>
    <w:p w14:paraId="73FF9390">
      <w:pPr>
        <w:spacing w:line="580" w:lineRule="exact"/>
        <w:ind w:firstLine="640" w:firstLineChars="200"/>
        <w:rPr>
          <w:rFonts w:ascii="仿宋_GB2312" w:hAnsi="仿宋_GB2312" w:eastAsia="仿宋_GB2312" w:cs="仿宋_GB2312"/>
          <w:color w:val="000000"/>
          <w:spacing w:val="-34"/>
          <w:sz w:val="32"/>
          <w:szCs w:val="32"/>
        </w:rPr>
      </w:pPr>
      <w:r>
        <w:rPr>
          <w:rFonts w:hint="eastAsia" w:ascii="仿宋_GB2312" w:hAnsi="仿宋_GB2312" w:eastAsia="仿宋_GB2312" w:cs="仿宋_GB2312"/>
          <w:sz w:val="32"/>
          <w:szCs w:val="32"/>
        </w:rPr>
        <w:t>附件：</w:t>
      </w:r>
      <w:r>
        <w:rPr>
          <w:rFonts w:hint="eastAsia" w:ascii="仿宋_GB2312" w:hAnsi="仿宋_GB2312" w:eastAsia="仿宋_GB2312" w:cs="仿宋_GB2312"/>
          <w:color w:val="000000"/>
          <w:spacing w:val="-34"/>
          <w:sz w:val="32"/>
          <w:szCs w:val="32"/>
        </w:rPr>
        <w:t>1. 2021年落实省文件取消调整一批行政职权事项目录（共计7项）</w:t>
      </w:r>
    </w:p>
    <w:p w14:paraId="68B60D71">
      <w:pPr>
        <w:spacing w:line="580" w:lineRule="exact"/>
        <w:ind w:firstLine="1600" w:firstLineChars="500"/>
        <w:rPr>
          <w:rFonts w:ascii="仿宋_GB2312" w:hAnsi="仿宋_GB2312" w:eastAsia="仿宋_GB2312" w:cs="仿宋_GB2312"/>
          <w:color w:val="000000"/>
          <w:spacing w:val="-28"/>
          <w:sz w:val="32"/>
          <w:szCs w:val="32"/>
        </w:rPr>
      </w:pPr>
      <w:r>
        <w:rPr>
          <w:rFonts w:hint="eastAsia" w:ascii="仿宋_GB2312" w:hAnsi="仿宋_GB2312" w:eastAsia="仿宋_GB2312" w:cs="仿宋_GB2312"/>
          <w:color w:val="000000"/>
          <w:sz w:val="32"/>
          <w:szCs w:val="32"/>
        </w:rPr>
        <w:t>2.</w:t>
      </w:r>
      <w:r>
        <w:rPr>
          <w:rFonts w:hint="eastAsia" w:ascii="仿宋_GB2312" w:hAnsi="仿宋_GB2312" w:eastAsia="仿宋_GB2312" w:cs="仿宋_GB2312"/>
          <w:color w:val="000000"/>
          <w:spacing w:val="-28"/>
          <w:sz w:val="32"/>
          <w:szCs w:val="32"/>
        </w:rPr>
        <w:t>2021年县政府承接调整一批行政职权事项目录（共计24项）</w:t>
      </w:r>
    </w:p>
    <w:p w14:paraId="2B15FC61">
      <w:pPr>
        <w:tabs>
          <w:tab w:val="left" w:pos="1665"/>
        </w:tabs>
        <w:spacing w:line="5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t xml:space="preserve">                     </w:t>
      </w:r>
    </w:p>
    <w:p w14:paraId="432D81C3">
      <w:pPr>
        <w:spacing w:line="580" w:lineRule="exact"/>
        <w:ind w:firstLine="5760" w:firstLineChars="1800"/>
        <w:rPr>
          <w:rFonts w:ascii="仿宋_GB2312" w:hAnsi="仿宋_GB2312" w:eastAsia="仿宋_GB2312" w:cs="仿宋_GB2312"/>
          <w:snapToGrid w:val="0"/>
          <w:kern w:val="0"/>
          <w:sz w:val="32"/>
          <w:szCs w:val="32"/>
        </w:rPr>
      </w:pPr>
    </w:p>
    <w:p w14:paraId="328EAC6A">
      <w:pPr>
        <w:spacing w:line="580" w:lineRule="exact"/>
        <w:ind w:firstLine="1600" w:firstLineChars="500"/>
        <w:jc w:val="center"/>
        <w:rPr>
          <w:rFonts w:ascii="仿宋_GB2312" w:hAnsi="仿宋_GB2312" w:eastAsia="仿宋_GB2312" w:cs="仿宋_GB2312"/>
          <w:snapToGrid w:val="0"/>
          <w:kern w:val="0"/>
          <w:sz w:val="32"/>
          <w:szCs w:val="32"/>
        </w:rPr>
      </w:pPr>
    </w:p>
    <w:p w14:paraId="6C32D31B">
      <w:pPr>
        <w:spacing w:line="580" w:lineRule="exact"/>
        <w:ind w:firstLine="1600" w:firstLineChars="500"/>
        <w:jc w:val="center"/>
        <w:rPr>
          <w:rFonts w:ascii="仿宋_GB2312" w:hAnsi="仿宋_GB2312" w:eastAsia="仿宋_GB2312" w:cs="仿宋_GB2312"/>
          <w:snapToGrid w:val="0"/>
          <w:kern w:val="0"/>
          <w:sz w:val="32"/>
          <w:szCs w:val="32"/>
        </w:rPr>
      </w:pPr>
    </w:p>
    <w:p w14:paraId="3A650C0B">
      <w:pPr>
        <w:spacing w:line="580" w:lineRule="exact"/>
        <w:ind w:firstLine="1600" w:firstLineChars="500"/>
        <w:jc w:val="center"/>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阜新蒙古族自治县人民政府</w:t>
      </w:r>
    </w:p>
    <w:p w14:paraId="5C04586F">
      <w:pPr>
        <w:spacing w:line="580" w:lineRule="exact"/>
        <w:ind w:firstLine="1600" w:firstLineChars="500"/>
        <w:jc w:val="center"/>
        <w:rPr>
          <w:rFonts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2022年</w:t>
      </w:r>
      <w:r>
        <w:rPr>
          <w:rFonts w:ascii="仿宋_GB2312" w:hAnsi="仿宋_GB2312" w:eastAsia="仿宋_GB2312" w:cs="仿宋_GB2312"/>
          <w:snapToGrid w:val="0"/>
          <w:kern w:val="0"/>
          <w:sz w:val="32"/>
          <w:szCs w:val="32"/>
        </w:rPr>
        <w:t>6</w:t>
      </w:r>
      <w:r>
        <w:rPr>
          <w:rFonts w:hint="eastAsia" w:ascii="仿宋_GB2312" w:hAnsi="仿宋_GB2312" w:eastAsia="仿宋_GB2312" w:cs="仿宋_GB2312"/>
          <w:snapToGrid w:val="0"/>
          <w:kern w:val="0"/>
          <w:sz w:val="32"/>
          <w:szCs w:val="32"/>
        </w:rPr>
        <w:t>月</w:t>
      </w:r>
      <w:r>
        <w:rPr>
          <w:rFonts w:ascii="仿宋_GB2312" w:hAnsi="仿宋_GB2312" w:eastAsia="仿宋_GB2312" w:cs="仿宋_GB2312"/>
          <w:snapToGrid w:val="0"/>
          <w:kern w:val="0"/>
          <w:sz w:val="32"/>
          <w:szCs w:val="32"/>
        </w:rPr>
        <w:t>6</w:t>
      </w:r>
      <w:r>
        <w:rPr>
          <w:rFonts w:hint="eastAsia" w:ascii="仿宋_GB2312" w:hAnsi="仿宋_GB2312" w:eastAsia="仿宋_GB2312" w:cs="仿宋_GB2312"/>
          <w:snapToGrid w:val="0"/>
          <w:kern w:val="0"/>
          <w:sz w:val="32"/>
          <w:szCs w:val="32"/>
        </w:rPr>
        <w:t>日</w:t>
      </w:r>
    </w:p>
    <w:p w14:paraId="171E8594">
      <w:pPr>
        <w:spacing w:line="580" w:lineRule="exact"/>
        <w:ind w:firstLine="1600" w:firstLineChars="500"/>
        <w:jc w:val="center"/>
        <w:rPr>
          <w:rFonts w:ascii="仿宋_GB2312" w:hAnsi="仿宋_GB2312" w:eastAsia="仿宋_GB2312" w:cs="仿宋_GB2312"/>
          <w:snapToGrid w:val="0"/>
          <w:kern w:val="0"/>
          <w:sz w:val="32"/>
          <w:szCs w:val="32"/>
        </w:rPr>
      </w:pPr>
    </w:p>
    <w:p w14:paraId="4407C4F6">
      <w:pPr>
        <w:spacing w:line="580" w:lineRule="exact"/>
        <w:ind w:firstLine="1600" w:firstLineChars="500"/>
        <w:jc w:val="center"/>
        <w:rPr>
          <w:rFonts w:ascii="仿宋_GB2312" w:hAnsi="仿宋_GB2312" w:eastAsia="仿宋_GB2312" w:cs="仿宋_GB2312"/>
          <w:snapToGrid w:val="0"/>
          <w:kern w:val="0"/>
          <w:sz w:val="32"/>
          <w:szCs w:val="32"/>
        </w:rPr>
      </w:pPr>
    </w:p>
    <w:p w14:paraId="014359D1">
      <w:pPr>
        <w:spacing w:line="580" w:lineRule="exact"/>
        <w:ind w:firstLine="1600" w:firstLineChars="500"/>
        <w:jc w:val="center"/>
        <w:rPr>
          <w:rFonts w:ascii="仿宋_GB2312" w:hAnsi="仿宋_GB2312" w:eastAsia="仿宋_GB2312" w:cs="仿宋_GB2312"/>
          <w:snapToGrid w:val="0"/>
          <w:kern w:val="0"/>
          <w:sz w:val="32"/>
          <w:szCs w:val="32"/>
        </w:rPr>
      </w:pPr>
    </w:p>
    <w:p w14:paraId="0041C9B5">
      <w:pPr>
        <w:spacing w:line="580" w:lineRule="exact"/>
        <w:rPr>
          <w:rFonts w:ascii="仿宋_GB2312" w:hAnsi="仿宋_GB2312" w:eastAsia="仿宋_GB2312" w:cs="仿宋_GB2312"/>
          <w:snapToGrid w:val="0"/>
          <w:kern w:val="0"/>
          <w:sz w:val="32"/>
          <w:szCs w:val="32"/>
        </w:rPr>
      </w:pPr>
      <w:r>
        <w:rPr>
          <w:rFonts w:ascii="仿宋_GB2312" w:hAnsi="仿宋_GB2312" w:eastAsia="仿宋_GB2312" w:cs="仿宋_GB2312"/>
          <w:snapToGrid w:val="0"/>
          <w:kern w:val="0"/>
          <w:sz w:val="32"/>
          <w:szCs w:val="32"/>
        </w:rPr>
        <w:t>（此件公开发布）</w:t>
      </w:r>
    </w:p>
    <w:p w14:paraId="47A79BC0">
      <w:pPr>
        <w:spacing w:line="580" w:lineRule="exact"/>
        <w:rPr>
          <w:rFonts w:ascii="仿宋_GB2312" w:hAnsi="仿宋_GB2312" w:eastAsia="仿宋_GB2312" w:cs="仿宋_GB2312"/>
          <w:snapToGrid w:val="0"/>
          <w:kern w:val="0"/>
          <w:sz w:val="32"/>
          <w:szCs w:val="32"/>
        </w:rPr>
      </w:pPr>
    </w:p>
    <w:p w14:paraId="43C201D7">
      <w:pPr>
        <w:spacing w:line="580" w:lineRule="exact"/>
        <w:ind w:firstLine="1600" w:firstLineChars="500"/>
        <w:jc w:val="center"/>
        <w:rPr>
          <w:rFonts w:ascii="仿宋_GB2312" w:hAnsi="仿宋_GB2312" w:eastAsia="仿宋_GB2312" w:cs="仿宋_GB2312"/>
          <w:snapToGrid w:val="0"/>
          <w:kern w:val="0"/>
          <w:sz w:val="32"/>
          <w:szCs w:val="32"/>
        </w:rPr>
      </w:pPr>
    </w:p>
    <w:tbl>
      <w:tblPr>
        <w:tblStyle w:val="9"/>
        <w:tblW w:w="10206" w:type="dxa"/>
        <w:jc w:val="center"/>
        <w:tblLayout w:type="fixed"/>
        <w:tblCellMar>
          <w:top w:w="0" w:type="dxa"/>
          <w:left w:w="108" w:type="dxa"/>
          <w:bottom w:w="0" w:type="dxa"/>
          <w:right w:w="108" w:type="dxa"/>
        </w:tblCellMar>
      </w:tblPr>
      <w:tblGrid>
        <w:gridCol w:w="493"/>
        <w:gridCol w:w="1087"/>
        <w:gridCol w:w="1139"/>
        <w:gridCol w:w="810"/>
        <w:gridCol w:w="3140"/>
        <w:gridCol w:w="943"/>
        <w:gridCol w:w="977"/>
        <w:gridCol w:w="981"/>
        <w:gridCol w:w="636"/>
      </w:tblGrid>
      <w:tr w14:paraId="3BE480BB">
        <w:tblPrEx>
          <w:tblCellMar>
            <w:top w:w="0" w:type="dxa"/>
            <w:left w:w="108" w:type="dxa"/>
            <w:bottom w:w="0" w:type="dxa"/>
            <w:right w:w="108" w:type="dxa"/>
          </w:tblCellMar>
        </w:tblPrEx>
        <w:trPr>
          <w:trHeight w:val="507" w:hRule="atLeast"/>
          <w:jc w:val="center"/>
        </w:trPr>
        <w:tc>
          <w:tcPr>
            <w:tcW w:w="10206" w:type="dxa"/>
            <w:gridSpan w:val="9"/>
            <w:tcBorders>
              <w:top w:val="nil"/>
              <w:left w:val="nil"/>
              <w:bottom w:val="nil"/>
              <w:right w:val="nil"/>
            </w:tcBorders>
            <w:noWrap/>
            <w:vAlign w:val="center"/>
          </w:tcPr>
          <w:p w14:paraId="78202674">
            <w:pPr>
              <w:rPr>
                <w:rFonts w:hint="eastAsia" w:ascii="仿宋_GB2312" w:hAnsi="仿宋_GB2312" w:eastAsia="仿宋_GB2312" w:cs="仿宋_GB2312"/>
                <w:sz w:val="32"/>
                <w:szCs w:val="32"/>
              </w:rPr>
            </w:pPr>
          </w:p>
          <w:p w14:paraId="0F92BF1F">
            <w:pPr>
              <w:rPr>
                <w:rFonts w:hint="eastAsia" w:ascii="仿宋_GB2312" w:hAnsi="仿宋_GB2312" w:eastAsia="仿宋_GB2312" w:cs="仿宋_GB2312"/>
                <w:sz w:val="32"/>
                <w:szCs w:val="32"/>
              </w:rPr>
            </w:pPr>
          </w:p>
          <w:p w14:paraId="6FB3BEF8">
            <w:pPr>
              <w:rPr>
                <w:rFonts w:hint="eastAsia" w:ascii="仿宋_GB2312" w:hAnsi="仿宋_GB2312" w:eastAsia="仿宋_GB2312" w:cs="仿宋_GB2312"/>
                <w:sz w:val="32"/>
                <w:szCs w:val="32"/>
              </w:rPr>
            </w:pPr>
          </w:p>
          <w:p w14:paraId="5455C1FF">
            <w:pPr>
              <w:rPr>
                <w:rFonts w:ascii="Times New Roman" w:hAnsi="Times New Roman" w:eastAsia="仿宋_GB2312"/>
                <w:sz w:val="18"/>
                <w:szCs w:val="18"/>
              </w:rPr>
            </w:pPr>
            <w:r>
              <w:rPr>
                <w:rFonts w:hint="eastAsia" w:ascii="仿宋_GB2312" w:hAnsi="仿宋_GB2312" w:eastAsia="仿宋_GB2312" w:cs="仿宋_GB2312"/>
                <w:sz w:val="32"/>
                <w:szCs w:val="32"/>
              </w:rPr>
              <w:t>附件1：</w:t>
            </w:r>
          </w:p>
        </w:tc>
      </w:tr>
      <w:tr w14:paraId="4B84FDDC">
        <w:tblPrEx>
          <w:tblCellMar>
            <w:top w:w="0" w:type="dxa"/>
            <w:left w:w="108" w:type="dxa"/>
            <w:bottom w:w="0" w:type="dxa"/>
            <w:right w:w="108" w:type="dxa"/>
          </w:tblCellMar>
        </w:tblPrEx>
        <w:trPr>
          <w:trHeight w:val="705" w:hRule="atLeast"/>
          <w:jc w:val="center"/>
        </w:trPr>
        <w:tc>
          <w:tcPr>
            <w:tcW w:w="10206" w:type="dxa"/>
            <w:gridSpan w:val="9"/>
            <w:tcBorders>
              <w:top w:val="nil"/>
              <w:left w:val="nil"/>
              <w:bottom w:val="single" w:color="000000" w:sz="4" w:space="0"/>
              <w:right w:val="nil"/>
            </w:tcBorders>
            <w:noWrap/>
          </w:tcPr>
          <w:p w14:paraId="049A32E9">
            <w:pPr>
              <w:jc w:val="center"/>
              <w:rPr>
                <w:rFonts w:hint="eastAsia" w:ascii="黑体" w:hAnsi="黑体" w:eastAsia="黑体" w:cs="方正小标宋简体"/>
                <w:sz w:val="32"/>
                <w:szCs w:val="32"/>
              </w:rPr>
            </w:pPr>
            <w:r>
              <w:rPr>
                <w:rFonts w:hint="eastAsia" w:ascii="Times New Roman" w:hAnsi="Times New Roman" w:eastAsia="仿宋_GB2312"/>
                <w:b/>
                <w:bCs/>
                <w:sz w:val="36"/>
                <w:szCs w:val="36"/>
              </w:rPr>
              <w:t xml:space="preserve">       </w:t>
            </w:r>
            <w:r>
              <w:rPr>
                <w:rFonts w:hint="eastAsia" w:ascii="黑体" w:hAnsi="黑体" w:eastAsia="黑体"/>
                <w:b/>
                <w:bCs/>
                <w:sz w:val="32"/>
                <w:szCs w:val="32"/>
              </w:rPr>
              <w:t xml:space="preserve"> </w:t>
            </w:r>
            <w:r>
              <w:rPr>
                <w:rFonts w:hint="eastAsia" w:ascii="黑体" w:hAnsi="黑体" w:eastAsia="黑体" w:cs="方正小标宋简体"/>
                <w:sz w:val="32"/>
                <w:szCs w:val="32"/>
              </w:rPr>
              <w:t>2021年落实省文件取消调整一批行政职权事项目录</w:t>
            </w:r>
          </w:p>
          <w:p w14:paraId="7F8CCACB">
            <w:pPr>
              <w:jc w:val="center"/>
              <w:rPr>
                <w:rFonts w:ascii="黑体" w:hAnsi="黑体" w:eastAsia="黑体"/>
                <w:sz w:val="32"/>
                <w:szCs w:val="32"/>
              </w:rPr>
            </w:pPr>
            <w:r>
              <w:rPr>
                <w:rFonts w:hint="eastAsia" w:ascii="黑体" w:hAnsi="黑体" w:eastAsia="黑体" w:cs="方正小标宋简体"/>
                <w:sz w:val="32"/>
                <w:szCs w:val="32"/>
              </w:rPr>
              <w:t>（共计7项）</w:t>
            </w:r>
          </w:p>
        </w:tc>
      </w:tr>
      <w:tr w14:paraId="6B67AECE">
        <w:tblPrEx>
          <w:tblCellMar>
            <w:top w:w="0" w:type="dxa"/>
            <w:left w:w="108" w:type="dxa"/>
            <w:bottom w:w="0" w:type="dxa"/>
            <w:right w:w="108" w:type="dxa"/>
          </w:tblCellMar>
        </w:tblPrEx>
        <w:trPr>
          <w:trHeight w:val="416" w:hRule="atLeast"/>
          <w:jc w:val="center"/>
        </w:trPr>
        <w:tc>
          <w:tcPr>
            <w:tcW w:w="493" w:type="dxa"/>
            <w:vMerge w:val="restart"/>
            <w:tcBorders>
              <w:top w:val="single" w:color="000000" w:sz="4" w:space="0"/>
              <w:left w:val="single" w:color="000000" w:sz="4" w:space="0"/>
              <w:bottom w:val="single" w:color="000000" w:sz="4" w:space="0"/>
              <w:right w:val="single" w:color="000000" w:sz="4" w:space="0"/>
            </w:tcBorders>
            <w:vAlign w:val="center"/>
          </w:tcPr>
          <w:p w14:paraId="472CA171">
            <w:pPr>
              <w:jc w:val="center"/>
              <w:rPr>
                <w:rFonts w:ascii="宋体" w:hAnsi="宋体" w:cs="宋体"/>
                <w:b/>
                <w:bCs/>
                <w:sz w:val="18"/>
                <w:szCs w:val="18"/>
              </w:rPr>
            </w:pPr>
            <w:r>
              <w:rPr>
                <w:rFonts w:hint="eastAsia" w:ascii="宋体" w:hAnsi="宋体" w:cs="宋体"/>
                <w:b/>
                <w:bCs/>
                <w:sz w:val="18"/>
                <w:szCs w:val="18"/>
              </w:rPr>
              <w:t>序号</w:t>
            </w:r>
          </w:p>
        </w:tc>
        <w:tc>
          <w:tcPr>
            <w:tcW w:w="2226" w:type="dxa"/>
            <w:gridSpan w:val="2"/>
            <w:tcBorders>
              <w:top w:val="single" w:color="000000" w:sz="4" w:space="0"/>
              <w:left w:val="single" w:color="000000" w:sz="4" w:space="0"/>
              <w:bottom w:val="single" w:color="000000" w:sz="4" w:space="0"/>
              <w:right w:val="single" w:color="000000" w:sz="4" w:space="0"/>
            </w:tcBorders>
            <w:vAlign w:val="center"/>
          </w:tcPr>
          <w:p w14:paraId="2B763D9F">
            <w:pPr>
              <w:jc w:val="center"/>
              <w:rPr>
                <w:rFonts w:ascii="宋体" w:hAnsi="宋体" w:cs="宋体"/>
                <w:b/>
                <w:bCs/>
                <w:sz w:val="18"/>
                <w:szCs w:val="18"/>
              </w:rPr>
            </w:pPr>
            <w:r>
              <w:rPr>
                <w:rFonts w:hint="eastAsia" w:ascii="宋体" w:hAnsi="宋体" w:cs="宋体"/>
                <w:b/>
                <w:bCs/>
                <w:sz w:val="18"/>
                <w:szCs w:val="18"/>
              </w:rPr>
              <w:t>事项名称</w:t>
            </w:r>
          </w:p>
        </w:tc>
        <w:tc>
          <w:tcPr>
            <w:tcW w:w="810" w:type="dxa"/>
            <w:vMerge w:val="restart"/>
            <w:tcBorders>
              <w:top w:val="single" w:color="000000" w:sz="4" w:space="0"/>
              <w:left w:val="single" w:color="000000" w:sz="4" w:space="0"/>
              <w:bottom w:val="single" w:color="000000" w:sz="4" w:space="0"/>
              <w:right w:val="single" w:color="000000" w:sz="4" w:space="0"/>
            </w:tcBorders>
            <w:vAlign w:val="center"/>
          </w:tcPr>
          <w:p w14:paraId="1CF6D476">
            <w:pPr>
              <w:jc w:val="center"/>
              <w:rPr>
                <w:rFonts w:ascii="宋体" w:hAnsi="宋体" w:cs="宋体"/>
                <w:b/>
                <w:bCs/>
                <w:sz w:val="18"/>
                <w:szCs w:val="18"/>
              </w:rPr>
            </w:pPr>
            <w:r>
              <w:rPr>
                <w:rFonts w:hint="eastAsia" w:ascii="宋体" w:hAnsi="宋体" w:cs="宋体"/>
                <w:b/>
                <w:bCs/>
                <w:sz w:val="18"/>
                <w:szCs w:val="18"/>
              </w:rPr>
              <w:t>事项类型</w:t>
            </w:r>
          </w:p>
        </w:tc>
        <w:tc>
          <w:tcPr>
            <w:tcW w:w="3140" w:type="dxa"/>
            <w:vMerge w:val="restart"/>
            <w:tcBorders>
              <w:top w:val="single" w:color="000000" w:sz="4" w:space="0"/>
              <w:left w:val="single" w:color="000000" w:sz="4" w:space="0"/>
              <w:bottom w:val="single" w:color="000000" w:sz="4" w:space="0"/>
              <w:right w:val="single" w:color="000000" w:sz="4" w:space="0"/>
            </w:tcBorders>
            <w:vAlign w:val="center"/>
          </w:tcPr>
          <w:p w14:paraId="6B2C3842">
            <w:pPr>
              <w:jc w:val="center"/>
              <w:rPr>
                <w:rFonts w:ascii="宋体" w:hAnsi="宋体" w:cs="宋体"/>
                <w:b/>
                <w:bCs/>
                <w:sz w:val="18"/>
                <w:szCs w:val="18"/>
              </w:rPr>
            </w:pPr>
            <w:r>
              <w:rPr>
                <w:rFonts w:hint="eastAsia" w:ascii="宋体" w:hAnsi="宋体" w:cs="宋体"/>
                <w:b/>
                <w:bCs/>
                <w:sz w:val="18"/>
                <w:szCs w:val="18"/>
              </w:rPr>
              <w:t>设定依据</w:t>
            </w:r>
          </w:p>
        </w:tc>
        <w:tc>
          <w:tcPr>
            <w:tcW w:w="943" w:type="dxa"/>
            <w:vMerge w:val="restart"/>
            <w:tcBorders>
              <w:top w:val="single" w:color="000000" w:sz="4" w:space="0"/>
              <w:left w:val="single" w:color="000000" w:sz="4" w:space="0"/>
              <w:bottom w:val="single" w:color="000000" w:sz="4" w:space="0"/>
              <w:right w:val="single" w:color="000000" w:sz="4" w:space="0"/>
            </w:tcBorders>
            <w:vAlign w:val="center"/>
          </w:tcPr>
          <w:p w14:paraId="2F7C5EE6">
            <w:pPr>
              <w:jc w:val="center"/>
              <w:rPr>
                <w:rFonts w:ascii="宋体" w:hAnsi="宋体" w:cs="宋体"/>
                <w:b/>
                <w:bCs/>
                <w:sz w:val="18"/>
                <w:szCs w:val="18"/>
              </w:rPr>
            </w:pPr>
            <w:r>
              <w:rPr>
                <w:rFonts w:hint="eastAsia" w:ascii="宋体" w:hAnsi="宋体" w:cs="宋体"/>
                <w:b/>
                <w:bCs/>
                <w:sz w:val="18"/>
                <w:szCs w:val="18"/>
              </w:rPr>
              <w:t>实施部门</w:t>
            </w:r>
          </w:p>
        </w:tc>
        <w:tc>
          <w:tcPr>
            <w:tcW w:w="977" w:type="dxa"/>
            <w:vMerge w:val="restart"/>
            <w:tcBorders>
              <w:top w:val="single" w:color="000000" w:sz="4" w:space="0"/>
              <w:left w:val="single" w:color="000000" w:sz="4" w:space="0"/>
              <w:bottom w:val="single" w:color="000000" w:sz="4" w:space="0"/>
              <w:right w:val="single" w:color="000000" w:sz="4" w:space="0"/>
            </w:tcBorders>
            <w:vAlign w:val="center"/>
          </w:tcPr>
          <w:p w14:paraId="1CC34F54">
            <w:pPr>
              <w:jc w:val="center"/>
              <w:rPr>
                <w:rFonts w:ascii="宋体" w:hAnsi="宋体" w:cs="宋体"/>
                <w:b/>
                <w:bCs/>
                <w:sz w:val="18"/>
                <w:szCs w:val="18"/>
              </w:rPr>
            </w:pPr>
            <w:r>
              <w:rPr>
                <w:rFonts w:hint="eastAsia" w:ascii="宋体" w:hAnsi="宋体" w:cs="宋体"/>
                <w:b/>
                <w:bCs/>
                <w:sz w:val="18"/>
                <w:szCs w:val="18"/>
              </w:rPr>
              <w:t>改革方式</w:t>
            </w:r>
          </w:p>
        </w:tc>
        <w:tc>
          <w:tcPr>
            <w:tcW w:w="981" w:type="dxa"/>
            <w:vMerge w:val="restart"/>
            <w:tcBorders>
              <w:top w:val="single" w:color="000000" w:sz="4" w:space="0"/>
              <w:left w:val="single" w:color="000000" w:sz="4" w:space="0"/>
              <w:bottom w:val="single" w:color="000000" w:sz="4" w:space="0"/>
              <w:right w:val="single" w:color="000000" w:sz="4" w:space="0"/>
            </w:tcBorders>
            <w:vAlign w:val="center"/>
          </w:tcPr>
          <w:p w14:paraId="48DA0C95">
            <w:pPr>
              <w:jc w:val="center"/>
              <w:rPr>
                <w:rFonts w:ascii="宋体" w:hAnsi="宋体" w:cs="宋体"/>
                <w:b/>
                <w:bCs/>
                <w:sz w:val="18"/>
                <w:szCs w:val="18"/>
              </w:rPr>
            </w:pPr>
            <w:r>
              <w:rPr>
                <w:rFonts w:hint="eastAsia" w:ascii="宋体" w:hAnsi="宋体" w:cs="宋体"/>
                <w:b/>
                <w:bCs/>
                <w:sz w:val="18"/>
                <w:szCs w:val="18"/>
              </w:rPr>
              <w:t>加强事中事后</w:t>
            </w:r>
          </w:p>
          <w:p w14:paraId="79705F9E">
            <w:pPr>
              <w:jc w:val="center"/>
              <w:rPr>
                <w:rFonts w:ascii="宋体" w:hAnsi="宋体" w:cs="宋体"/>
                <w:b/>
                <w:bCs/>
                <w:sz w:val="18"/>
                <w:szCs w:val="18"/>
              </w:rPr>
            </w:pPr>
            <w:r>
              <w:rPr>
                <w:rFonts w:hint="eastAsia" w:ascii="宋体" w:hAnsi="宋体" w:cs="宋体"/>
                <w:b/>
                <w:bCs/>
                <w:sz w:val="18"/>
                <w:szCs w:val="18"/>
              </w:rPr>
              <w:t>监管措施</w:t>
            </w:r>
          </w:p>
        </w:tc>
        <w:tc>
          <w:tcPr>
            <w:tcW w:w="636" w:type="dxa"/>
            <w:vMerge w:val="restart"/>
            <w:tcBorders>
              <w:top w:val="single" w:color="000000" w:sz="4" w:space="0"/>
              <w:left w:val="single" w:color="000000" w:sz="4" w:space="0"/>
              <w:bottom w:val="single" w:color="000000" w:sz="4" w:space="0"/>
              <w:right w:val="single" w:color="000000" w:sz="4" w:space="0"/>
            </w:tcBorders>
            <w:vAlign w:val="center"/>
          </w:tcPr>
          <w:p w14:paraId="595A4262">
            <w:pPr>
              <w:jc w:val="center"/>
              <w:rPr>
                <w:rFonts w:ascii="宋体" w:hAnsi="宋体" w:cs="宋体"/>
                <w:b/>
                <w:bCs/>
                <w:sz w:val="18"/>
                <w:szCs w:val="18"/>
              </w:rPr>
            </w:pPr>
            <w:r>
              <w:rPr>
                <w:rFonts w:hint="eastAsia" w:ascii="宋体" w:hAnsi="宋体" w:cs="宋体"/>
                <w:b/>
                <w:bCs/>
                <w:sz w:val="18"/>
                <w:szCs w:val="18"/>
              </w:rPr>
              <w:t>备注</w:t>
            </w:r>
          </w:p>
        </w:tc>
      </w:tr>
      <w:tr w14:paraId="5A1674DD">
        <w:tblPrEx>
          <w:tblCellMar>
            <w:top w:w="0" w:type="dxa"/>
            <w:left w:w="108" w:type="dxa"/>
            <w:bottom w:w="0" w:type="dxa"/>
            <w:right w:w="108" w:type="dxa"/>
          </w:tblCellMar>
        </w:tblPrEx>
        <w:trPr>
          <w:trHeight w:val="437" w:hRule="atLeast"/>
          <w:jc w:val="center"/>
        </w:trPr>
        <w:tc>
          <w:tcPr>
            <w:tcW w:w="493" w:type="dxa"/>
            <w:vMerge w:val="continue"/>
            <w:tcBorders>
              <w:top w:val="single" w:color="000000" w:sz="4" w:space="0"/>
              <w:left w:val="single" w:color="000000" w:sz="4" w:space="0"/>
              <w:bottom w:val="single" w:color="000000" w:sz="4" w:space="0"/>
              <w:right w:val="single" w:color="000000" w:sz="4" w:space="0"/>
            </w:tcBorders>
            <w:vAlign w:val="center"/>
          </w:tcPr>
          <w:p w14:paraId="56AF471A">
            <w:pPr>
              <w:jc w:val="center"/>
              <w:rPr>
                <w:rFonts w:ascii="Times New Roman" w:hAnsi="Times New Roman" w:eastAsia="仿宋_GB2312"/>
                <w:sz w:val="18"/>
                <w:szCs w:val="18"/>
              </w:rPr>
            </w:pPr>
          </w:p>
        </w:tc>
        <w:tc>
          <w:tcPr>
            <w:tcW w:w="1087" w:type="dxa"/>
            <w:tcBorders>
              <w:top w:val="single" w:color="000000" w:sz="4" w:space="0"/>
              <w:left w:val="single" w:color="000000" w:sz="4" w:space="0"/>
              <w:bottom w:val="single" w:color="000000" w:sz="4" w:space="0"/>
              <w:right w:val="single" w:color="000000" w:sz="4" w:space="0"/>
            </w:tcBorders>
            <w:vAlign w:val="center"/>
          </w:tcPr>
          <w:p w14:paraId="385D91EC">
            <w:pPr>
              <w:ind w:firstLine="361" w:firstLineChars="200"/>
              <w:rPr>
                <w:rFonts w:ascii="宋体" w:hAnsi="宋体" w:cs="宋体"/>
                <w:b/>
                <w:bCs/>
                <w:sz w:val="18"/>
                <w:szCs w:val="18"/>
              </w:rPr>
            </w:pPr>
            <w:r>
              <w:rPr>
                <w:rFonts w:hint="eastAsia" w:ascii="宋体" w:hAnsi="宋体" w:cs="宋体"/>
                <w:b/>
                <w:bCs/>
                <w:sz w:val="18"/>
                <w:szCs w:val="18"/>
              </w:rPr>
              <w:t>主项</w:t>
            </w:r>
          </w:p>
        </w:tc>
        <w:tc>
          <w:tcPr>
            <w:tcW w:w="1139" w:type="dxa"/>
            <w:tcBorders>
              <w:top w:val="single" w:color="000000" w:sz="4" w:space="0"/>
              <w:left w:val="single" w:color="000000" w:sz="4" w:space="0"/>
              <w:bottom w:val="single" w:color="000000" w:sz="4" w:space="0"/>
              <w:right w:val="single" w:color="000000" w:sz="4" w:space="0"/>
            </w:tcBorders>
            <w:vAlign w:val="center"/>
          </w:tcPr>
          <w:p w14:paraId="367D2BFB">
            <w:pPr>
              <w:ind w:firstLine="361" w:firstLineChars="200"/>
              <w:rPr>
                <w:rFonts w:ascii="宋体" w:hAnsi="宋体" w:cs="宋体"/>
                <w:b/>
                <w:bCs/>
                <w:sz w:val="18"/>
                <w:szCs w:val="18"/>
              </w:rPr>
            </w:pPr>
            <w:r>
              <w:rPr>
                <w:rFonts w:hint="eastAsia" w:ascii="宋体" w:hAnsi="宋体" w:cs="宋体"/>
                <w:b/>
                <w:bCs/>
                <w:sz w:val="18"/>
                <w:szCs w:val="18"/>
              </w:rPr>
              <w:t>子项</w:t>
            </w:r>
          </w:p>
        </w:tc>
        <w:tc>
          <w:tcPr>
            <w:tcW w:w="810" w:type="dxa"/>
            <w:vMerge w:val="continue"/>
            <w:tcBorders>
              <w:top w:val="single" w:color="000000" w:sz="4" w:space="0"/>
              <w:left w:val="single" w:color="000000" w:sz="4" w:space="0"/>
              <w:bottom w:val="single" w:color="000000" w:sz="4" w:space="0"/>
              <w:right w:val="single" w:color="000000" w:sz="4" w:space="0"/>
            </w:tcBorders>
            <w:vAlign w:val="center"/>
          </w:tcPr>
          <w:p w14:paraId="7A0CC4E5">
            <w:pPr>
              <w:ind w:firstLine="360" w:firstLineChars="200"/>
              <w:rPr>
                <w:rFonts w:ascii="Times New Roman" w:hAnsi="Times New Roman" w:eastAsia="仿宋_GB2312"/>
                <w:sz w:val="18"/>
                <w:szCs w:val="18"/>
              </w:rPr>
            </w:pPr>
          </w:p>
        </w:tc>
        <w:tc>
          <w:tcPr>
            <w:tcW w:w="3140" w:type="dxa"/>
            <w:vMerge w:val="continue"/>
            <w:tcBorders>
              <w:top w:val="single" w:color="000000" w:sz="4" w:space="0"/>
              <w:left w:val="single" w:color="000000" w:sz="4" w:space="0"/>
              <w:bottom w:val="single" w:color="000000" w:sz="4" w:space="0"/>
              <w:right w:val="single" w:color="000000" w:sz="4" w:space="0"/>
            </w:tcBorders>
            <w:vAlign w:val="center"/>
          </w:tcPr>
          <w:p w14:paraId="4AEA7F51">
            <w:pPr>
              <w:ind w:firstLine="360" w:firstLineChars="200"/>
              <w:rPr>
                <w:rFonts w:ascii="Times New Roman" w:hAnsi="Times New Roman" w:eastAsia="仿宋_GB2312"/>
                <w:sz w:val="18"/>
                <w:szCs w:val="18"/>
              </w:rPr>
            </w:pPr>
          </w:p>
        </w:tc>
        <w:tc>
          <w:tcPr>
            <w:tcW w:w="943" w:type="dxa"/>
            <w:vMerge w:val="continue"/>
            <w:tcBorders>
              <w:top w:val="single" w:color="000000" w:sz="4" w:space="0"/>
              <w:left w:val="single" w:color="000000" w:sz="4" w:space="0"/>
              <w:bottom w:val="single" w:color="000000" w:sz="4" w:space="0"/>
              <w:right w:val="single" w:color="000000" w:sz="4" w:space="0"/>
            </w:tcBorders>
            <w:vAlign w:val="center"/>
          </w:tcPr>
          <w:p w14:paraId="1F0C952C">
            <w:pPr>
              <w:ind w:firstLine="360" w:firstLineChars="200"/>
              <w:rPr>
                <w:rFonts w:ascii="Times New Roman" w:hAnsi="Times New Roman" w:eastAsia="仿宋_GB2312"/>
                <w:sz w:val="18"/>
                <w:szCs w:val="18"/>
              </w:rPr>
            </w:pPr>
          </w:p>
        </w:tc>
        <w:tc>
          <w:tcPr>
            <w:tcW w:w="977" w:type="dxa"/>
            <w:vMerge w:val="continue"/>
            <w:tcBorders>
              <w:top w:val="single" w:color="000000" w:sz="4" w:space="0"/>
              <w:left w:val="single" w:color="000000" w:sz="4" w:space="0"/>
              <w:bottom w:val="single" w:color="000000" w:sz="4" w:space="0"/>
              <w:right w:val="single" w:color="000000" w:sz="4" w:space="0"/>
            </w:tcBorders>
            <w:vAlign w:val="center"/>
          </w:tcPr>
          <w:p w14:paraId="5DC4EEAA">
            <w:pPr>
              <w:ind w:firstLine="360" w:firstLineChars="200"/>
              <w:rPr>
                <w:rFonts w:ascii="Times New Roman" w:hAnsi="Times New Roman" w:eastAsia="仿宋_GB2312"/>
                <w:sz w:val="18"/>
                <w:szCs w:val="18"/>
              </w:rPr>
            </w:pPr>
          </w:p>
        </w:tc>
        <w:tc>
          <w:tcPr>
            <w:tcW w:w="981" w:type="dxa"/>
            <w:vMerge w:val="continue"/>
            <w:tcBorders>
              <w:top w:val="single" w:color="000000" w:sz="4" w:space="0"/>
              <w:left w:val="single" w:color="000000" w:sz="4" w:space="0"/>
              <w:bottom w:val="single" w:color="000000" w:sz="4" w:space="0"/>
              <w:right w:val="single" w:color="000000" w:sz="4" w:space="0"/>
            </w:tcBorders>
            <w:vAlign w:val="center"/>
          </w:tcPr>
          <w:p w14:paraId="70A66825">
            <w:pPr>
              <w:ind w:firstLine="360" w:firstLineChars="200"/>
              <w:rPr>
                <w:rFonts w:ascii="Times New Roman" w:hAnsi="Times New Roman" w:eastAsia="仿宋_GB2312"/>
                <w:sz w:val="18"/>
                <w:szCs w:val="18"/>
              </w:rPr>
            </w:pPr>
          </w:p>
        </w:tc>
        <w:tc>
          <w:tcPr>
            <w:tcW w:w="636" w:type="dxa"/>
            <w:vMerge w:val="continue"/>
            <w:tcBorders>
              <w:top w:val="single" w:color="000000" w:sz="4" w:space="0"/>
              <w:left w:val="single" w:color="000000" w:sz="4" w:space="0"/>
              <w:bottom w:val="single" w:color="000000" w:sz="4" w:space="0"/>
              <w:right w:val="single" w:color="000000" w:sz="4" w:space="0"/>
            </w:tcBorders>
            <w:vAlign w:val="center"/>
          </w:tcPr>
          <w:p w14:paraId="04EB640A">
            <w:pPr>
              <w:ind w:firstLine="360" w:firstLineChars="200"/>
              <w:rPr>
                <w:rFonts w:ascii="Times New Roman" w:hAnsi="Times New Roman" w:eastAsia="仿宋_GB2312"/>
                <w:sz w:val="18"/>
                <w:szCs w:val="18"/>
              </w:rPr>
            </w:pPr>
          </w:p>
        </w:tc>
      </w:tr>
      <w:tr w14:paraId="74B13F5D">
        <w:tblPrEx>
          <w:tblCellMar>
            <w:top w:w="0" w:type="dxa"/>
            <w:left w:w="108" w:type="dxa"/>
            <w:bottom w:w="0" w:type="dxa"/>
            <w:right w:w="108" w:type="dxa"/>
          </w:tblCellMar>
        </w:tblPrEx>
        <w:trPr>
          <w:trHeight w:val="1680" w:hRule="atLeast"/>
          <w:jc w:val="center"/>
        </w:trPr>
        <w:tc>
          <w:tcPr>
            <w:tcW w:w="493" w:type="dxa"/>
            <w:tcBorders>
              <w:top w:val="single" w:color="000000" w:sz="4" w:space="0"/>
              <w:left w:val="single" w:color="000000" w:sz="4" w:space="0"/>
              <w:bottom w:val="single" w:color="000000" w:sz="4" w:space="0"/>
              <w:right w:val="single" w:color="000000" w:sz="4" w:space="0"/>
            </w:tcBorders>
            <w:noWrap/>
            <w:vAlign w:val="center"/>
          </w:tcPr>
          <w:p w14:paraId="256A6CF3">
            <w:pPr>
              <w:spacing w:line="240" w:lineRule="exact"/>
              <w:jc w:val="center"/>
              <w:rPr>
                <w:rFonts w:ascii="宋体" w:hAnsi="宋体" w:cs="宋体"/>
                <w:sz w:val="18"/>
                <w:szCs w:val="18"/>
              </w:rPr>
            </w:pPr>
            <w:r>
              <w:rPr>
                <w:rFonts w:hint="eastAsia" w:ascii="宋体" w:hAnsi="宋体" w:cs="宋体"/>
                <w:sz w:val="18"/>
                <w:szCs w:val="18"/>
              </w:rPr>
              <w:t>1</w:t>
            </w:r>
          </w:p>
        </w:tc>
        <w:tc>
          <w:tcPr>
            <w:tcW w:w="1087" w:type="dxa"/>
            <w:tcBorders>
              <w:top w:val="single" w:color="000000" w:sz="4" w:space="0"/>
              <w:left w:val="single" w:color="000000" w:sz="4" w:space="0"/>
              <w:bottom w:val="single" w:color="000000" w:sz="4" w:space="0"/>
              <w:right w:val="single" w:color="000000" w:sz="4" w:space="0"/>
            </w:tcBorders>
            <w:vAlign w:val="center"/>
          </w:tcPr>
          <w:p w14:paraId="6AD90B53">
            <w:pPr>
              <w:spacing w:line="240" w:lineRule="exact"/>
              <w:rPr>
                <w:rFonts w:ascii="宋体" w:hAnsi="宋体" w:cs="宋体"/>
                <w:sz w:val="18"/>
                <w:szCs w:val="18"/>
              </w:rPr>
            </w:pPr>
            <w:r>
              <w:rPr>
                <w:rFonts w:hint="eastAsia" w:ascii="宋体" w:hAnsi="宋体" w:cs="宋体"/>
                <w:sz w:val="18"/>
                <w:szCs w:val="18"/>
              </w:rPr>
              <w:t>对违反《辽宁省合同监督条例》行为的处罚</w:t>
            </w:r>
          </w:p>
        </w:tc>
        <w:tc>
          <w:tcPr>
            <w:tcW w:w="1139" w:type="dxa"/>
            <w:tcBorders>
              <w:top w:val="single" w:color="000000" w:sz="4" w:space="0"/>
              <w:left w:val="single" w:color="000000" w:sz="4" w:space="0"/>
              <w:bottom w:val="single" w:color="000000" w:sz="4" w:space="0"/>
              <w:right w:val="single" w:color="000000" w:sz="4" w:space="0"/>
            </w:tcBorders>
            <w:vAlign w:val="center"/>
          </w:tcPr>
          <w:p w14:paraId="3679871C">
            <w:pPr>
              <w:spacing w:line="240" w:lineRule="exact"/>
              <w:rPr>
                <w:rFonts w:ascii="宋体" w:hAnsi="宋体" w:cs="宋体"/>
                <w:sz w:val="18"/>
                <w:szCs w:val="18"/>
              </w:rPr>
            </w:pPr>
            <w:r>
              <w:rPr>
                <w:rFonts w:hint="eastAsia" w:ascii="宋体" w:hAnsi="宋体" w:cs="宋体"/>
                <w:sz w:val="18"/>
                <w:szCs w:val="18"/>
              </w:rPr>
              <w:t>1.对含有格式条款的合同有危害国家利益、社会公共利益或者损害对方当事人合法权益的内容的处罚</w:t>
            </w:r>
          </w:p>
        </w:tc>
        <w:tc>
          <w:tcPr>
            <w:tcW w:w="810" w:type="dxa"/>
            <w:tcBorders>
              <w:top w:val="single" w:color="000000" w:sz="4" w:space="0"/>
              <w:left w:val="single" w:color="000000" w:sz="4" w:space="0"/>
              <w:bottom w:val="single" w:color="000000" w:sz="4" w:space="0"/>
              <w:right w:val="single" w:color="000000" w:sz="4" w:space="0"/>
            </w:tcBorders>
            <w:vAlign w:val="center"/>
          </w:tcPr>
          <w:p w14:paraId="67088093">
            <w:pPr>
              <w:spacing w:line="240" w:lineRule="exact"/>
              <w:jc w:val="center"/>
              <w:rPr>
                <w:rFonts w:ascii="宋体" w:hAnsi="宋体" w:cs="宋体"/>
                <w:sz w:val="18"/>
                <w:szCs w:val="18"/>
              </w:rPr>
            </w:pPr>
            <w:r>
              <w:rPr>
                <w:rFonts w:hint="eastAsia" w:ascii="宋体" w:hAnsi="宋体" w:cs="宋体"/>
                <w:sz w:val="18"/>
                <w:szCs w:val="18"/>
              </w:rPr>
              <w:t>行政处罚</w:t>
            </w:r>
          </w:p>
        </w:tc>
        <w:tc>
          <w:tcPr>
            <w:tcW w:w="3140" w:type="dxa"/>
            <w:tcBorders>
              <w:top w:val="single" w:color="000000" w:sz="4" w:space="0"/>
              <w:left w:val="single" w:color="000000" w:sz="4" w:space="0"/>
              <w:bottom w:val="single" w:color="000000" w:sz="4" w:space="0"/>
              <w:right w:val="single" w:color="000000" w:sz="4" w:space="0"/>
            </w:tcBorders>
            <w:vAlign w:val="center"/>
          </w:tcPr>
          <w:p w14:paraId="1E0F1D96">
            <w:pPr>
              <w:spacing w:line="240" w:lineRule="exact"/>
              <w:rPr>
                <w:rFonts w:hint="eastAsia" w:ascii="宋体" w:hAnsi="宋体" w:eastAsia="宋体" w:cs="宋体"/>
                <w:sz w:val="18"/>
                <w:szCs w:val="18"/>
                <w:lang w:eastAsia="zh-CN"/>
              </w:rPr>
            </w:pPr>
            <w:r>
              <w:rPr>
                <w:rFonts w:hint="eastAsia" w:ascii="宋体" w:hAnsi="宋体" w:cs="宋体"/>
                <w:sz w:val="18"/>
                <w:szCs w:val="18"/>
              </w:rPr>
              <w:t>【地方性法规】《辽宁省合同监督条例》（2010年7月30日公布）</w:t>
            </w:r>
          </w:p>
          <w:p w14:paraId="7F0F3768">
            <w:pPr>
              <w:spacing w:line="240" w:lineRule="exact"/>
              <w:rPr>
                <w:rFonts w:hint="eastAsia" w:ascii="宋体" w:hAnsi="宋体" w:eastAsia="宋体" w:cs="宋体"/>
                <w:sz w:val="18"/>
                <w:szCs w:val="18"/>
                <w:lang w:eastAsia="zh-CN"/>
              </w:rPr>
            </w:pPr>
            <w:r>
              <w:rPr>
                <w:rFonts w:hint="eastAsia" w:ascii="宋体" w:hAnsi="宋体" w:cs="宋体"/>
                <w:sz w:val="18"/>
                <w:szCs w:val="18"/>
              </w:rPr>
              <w:t>第四条 含有格式条款的合同不得有危害国家利益、社会公共利益或者损害对方当事人合法权益的内容。</w:t>
            </w:r>
          </w:p>
          <w:p w14:paraId="252B33AF">
            <w:pPr>
              <w:spacing w:line="240" w:lineRule="exact"/>
              <w:rPr>
                <w:rFonts w:ascii="宋体" w:hAnsi="宋体" w:cs="宋体"/>
                <w:sz w:val="18"/>
                <w:szCs w:val="18"/>
              </w:rPr>
            </w:pPr>
            <w:r>
              <w:rPr>
                <w:rFonts w:hint="eastAsia" w:ascii="宋体" w:hAnsi="宋体" w:cs="宋体"/>
                <w:sz w:val="18"/>
                <w:szCs w:val="18"/>
              </w:rPr>
              <w:t>第十四条 违反本条例第四条规定，由工商行政管理部门责令限期改正，逾期拒不改正的，处以1000元以上1万元以下的罚款。</w:t>
            </w:r>
          </w:p>
        </w:tc>
        <w:tc>
          <w:tcPr>
            <w:tcW w:w="943" w:type="dxa"/>
            <w:tcBorders>
              <w:top w:val="single" w:color="000000" w:sz="4" w:space="0"/>
              <w:left w:val="single" w:color="000000" w:sz="4" w:space="0"/>
              <w:bottom w:val="single" w:color="000000" w:sz="4" w:space="0"/>
              <w:right w:val="single" w:color="000000" w:sz="4" w:space="0"/>
            </w:tcBorders>
            <w:vAlign w:val="center"/>
          </w:tcPr>
          <w:p w14:paraId="3DEC570B">
            <w:pPr>
              <w:spacing w:line="240" w:lineRule="exact"/>
              <w:jc w:val="center"/>
              <w:rPr>
                <w:rFonts w:ascii="宋体" w:hAnsi="宋体" w:cs="宋体"/>
                <w:sz w:val="18"/>
                <w:szCs w:val="18"/>
              </w:rPr>
            </w:pPr>
            <w:r>
              <w:rPr>
                <w:rFonts w:hint="eastAsia" w:ascii="宋体" w:hAnsi="宋体" w:cs="宋体"/>
                <w:sz w:val="18"/>
                <w:szCs w:val="18"/>
              </w:rPr>
              <w:t>县级市场监管部门</w:t>
            </w:r>
          </w:p>
        </w:tc>
        <w:tc>
          <w:tcPr>
            <w:tcW w:w="977" w:type="dxa"/>
            <w:tcBorders>
              <w:top w:val="single" w:color="000000" w:sz="4" w:space="0"/>
              <w:left w:val="single" w:color="000000" w:sz="4" w:space="0"/>
              <w:bottom w:val="single" w:color="000000" w:sz="4" w:space="0"/>
              <w:right w:val="single" w:color="000000" w:sz="4" w:space="0"/>
            </w:tcBorders>
            <w:vAlign w:val="center"/>
          </w:tcPr>
          <w:p w14:paraId="2197F643">
            <w:pPr>
              <w:spacing w:line="240" w:lineRule="exact"/>
              <w:rPr>
                <w:rFonts w:ascii="宋体" w:hAnsi="宋体" w:cs="宋体"/>
                <w:sz w:val="18"/>
                <w:szCs w:val="18"/>
              </w:rPr>
            </w:pPr>
            <w:r>
              <w:rPr>
                <w:rFonts w:hint="eastAsia" w:ascii="宋体" w:hAnsi="宋体" w:cs="宋体"/>
                <w:sz w:val="18"/>
                <w:szCs w:val="18"/>
              </w:rPr>
              <w:t>取消。取消后相关处罚内容按照《合同违法行为监督处理办法》相关条款实施。</w:t>
            </w:r>
          </w:p>
        </w:tc>
        <w:tc>
          <w:tcPr>
            <w:tcW w:w="981" w:type="dxa"/>
            <w:tcBorders>
              <w:top w:val="single" w:color="000000" w:sz="4" w:space="0"/>
              <w:left w:val="single" w:color="000000" w:sz="4" w:space="0"/>
              <w:bottom w:val="single" w:color="000000" w:sz="4" w:space="0"/>
              <w:right w:val="single" w:color="000000" w:sz="4" w:space="0"/>
            </w:tcBorders>
            <w:vAlign w:val="center"/>
          </w:tcPr>
          <w:p w14:paraId="2846A086">
            <w:pPr>
              <w:spacing w:line="240" w:lineRule="exact"/>
              <w:ind w:firstLine="360" w:firstLineChars="200"/>
              <w:rPr>
                <w:rFonts w:ascii="宋体" w:hAnsi="宋体" w:cs="宋体"/>
                <w:sz w:val="18"/>
                <w:szCs w:val="18"/>
              </w:rPr>
            </w:pPr>
          </w:p>
        </w:tc>
        <w:tc>
          <w:tcPr>
            <w:tcW w:w="636" w:type="dxa"/>
            <w:tcBorders>
              <w:top w:val="single" w:color="000000" w:sz="4" w:space="0"/>
              <w:left w:val="single" w:color="000000" w:sz="4" w:space="0"/>
              <w:bottom w:val="single" w:color="000000" w:sz="4" w:space="0"/>
              <w:right w:val="single" w:color="000000" w:sz="4" w:space="0"/>
            </w:tcBorders>
            <w:vAlign w:val="center"/>
          </w:tcPr>
          <w:p w14:paraId="7C54F158">
            <w:pPr>
              <w:spacing w:line="240" w:lineRule="exact"/>
              <w:ind w:firstLine="360" w:firstLineChars="200"/>
              <w:rPr>
                <w:rFonts w:ascii="宋体" w:hAnsi="宋体" w:cs="宋体"/>
                <w:sz w:val="18"/>
                <w:szCs w:val="18"/>
              </w:rPr>
            </w:pPr>
          </w:p>
        </w:tc>
      </w:tr>
      <w:tr w14:paraId="2E4D36B4">
        <w:tblPrEx>
          <w:tblCellMar>
            <w:top w:w="0" w:type="dxa"/>
            <w:left w:w="108" w:type="dxa"/>
            <w:bottom w:w="0" w:type="dxa"/>
            <w:right w:w="108" w:type="dxa"/>
          </w:tblCellMar>
        </w:tblPrEx>
        <w:trPr>
          <w:trHeight w:val="452" w:hRule="atLeast"/>
          <w:jc w:val="center"/>
        </w:trPr>
        <w:tc>
          <w:tcPr>
            <w:tcW w:w="493" w:type="dxa"/>
            <w:tcBorders>
              <w:top w:val="single" w:color="000000" w:sz="4" w:space="0"/>
              <w:left w:val="single" w:color="000000" w:sz="4" w:space="0"/>
              <w:bottom w:val="single" w:color="000000" w:sz="4" w:space="0"/>
              <w:right w:val="single" w:color="000000" w:sz="4" w:space="0"/>
            </w:tcBorders>
            <w:noWrap/>
            <w:vAlign w:val="center"/>
          </w:tcPr>
          <w:p w14:paraId="716A442D">
            <w:pPr>
              <w:spacing w:line="240" w:lineRule="exact"/>
              <w:jc w:val="center"/>
              <w:rPr>
                <w:rFonts w:ascii="宋体" w:hAnsi="宋体" w:cs="宋体"/>
                <w:sz w:val="18"/>
                <w:szCs w:val="18"/>
              </w:rPr>
            </w:pPr>
            <w:r>
              <w:rPr>
                <w:rFonts w:hint="eastAsia" w:ascii="宋体" w:hAnsi="宋体" w:cs="宋体"/>
                <w:sz w:val="18"/>
                <w:szCs w:val="18"/>
              </w:rPr>
              <w:t>1</w:t>
            </w:r>
          </w:p>
        </w:tc>
        <w:tc>
          <w:tcPr>
            <w:tcW w:w="1087" w:type="dxa"/>
            <w:tcBorders>
              <w:top w:val="single" w:color="000000" w:sz="4" w:space="0"/>
              <w:left w:val="single" w:color="000000" w:sz="4" w:space="0"/>
              <w:bottom w:val="single" w:color="000000" w:sz="4" w:space="0"/>
              <w:right w:val="single" w:color="000000" w:sz="4" w:space="0"/>
            </w:tcBorders>
            <w:vAlign w:val="center"/>
          </w:tcPr>
          <w:p w14:paraId="48C7DF72">
            <w:pPr>
              <w:spacing w:line="240" w:lineRule="exact"/>
              <w:rPr>
                <w:rFonts w:ascii="宋体" w:hAnsi="宋体" w:cs="宋体"/>
                <w:sz w:val="18"/>
                <w:szCs w:val="18"/>
              </w:rPr>
            </w:pPr>
            <w:r>
              <w:rPr>
                <w:rFonts w:hint="eastAsia" w:ascii="宋体" w:hAnsi="宋体" w:cs="宋体"/>
                <w:sz w:val="18"/>
                <w:szCs w:val="18"/>
              </w:rPr>
              <w:t>对违反《辽宁省合同监督条例》行为的处罚</w:t>
            </w:r>
          </w:p>
        </w:tc>
        <w:tc>
          <w:tcPr>
            <w:tcW w:w="1139" w:type="dxa"/>
            <w:tcBorders>
              <w:top w:val="single" w:color="000000" w:sz="4" w:space="0"/>
              <w:left w:val="single" w:color="000000" w:sz="4" w:space="0"/>
              <w:bottom w:val="single" w:color="000000" w:sz="4" w:space="0"/>
              <w:right w:val="single" w:color="000000" w:sz="4" w:space="0"/>
            </w:tcBorders>
            <w:vAlign w:val="center"/>
          </w:tcPr>
          <w:p w14:paraId="1B2EF558">
            <w:pPr>
              <w:spacing w:line="240" w:lineRule="exact"/>
              <w:rPr>
                <w:rFonts w:ascii="宋体" w:hAnsi="宋体" w:cs="宋体"/>
                <w:sz w:val="18"/>
                <w:szCs w:val="18"/>
              </w:rPr>
            </w:pPr>
            <w:r>
              <w:rPr>
                <w:rFonts w:hint="eastAsia" w:ascii="宋体" w:hAnsi="宋体" w:cs="宋体"/>
                <w:sz w:val="18"/>
                <w:szCs w:val="18"/>
              </w:rPr>
              <w:t>2.对以欺诈、胁迫的手段订立合同，损害国家利益的和通过贿赂订立、履行合同，侵占国有资产的行为的处罚</w:t>
            </w:r>
          </w:p>
        </w:tc>
        <w:tc>
          <w:tcPr>
            <w:tcW w:w="810" w:type="dxa"/>
            <w:tcBorders>
              <w:top w:val="single" w:color="000000" w:sz="4" w:space="0"/>
              <w:left w:val="single" w:color="000000" w:sz="4" w:space="0"/>
              <w:bottom w:val="single" w:color="000000" w:sz="4" w:space="0"/>
              <w:right w:val="single" w:color="000000" w:sz="4" w:space="0"/>
            </w:tcBorders>
            <w:vAlign w:val="center"/>
          </w:tcPr>
          <w:p w14:paraId="39522F9E">
            <w:pPr>
              <w:spacing w:line="240" w:lineRule="exact"/>
              <w:jc w:val="center"/>
              <w:rPr>
                <w:rFonts w:ascii="宋体" w:hAnsi="宋体" w:cs="宋体"/>
                <w:sz w:val="18"/>
                <w:szCs w:val="18"/>
              </w:rPr>
            </w:pPr>
            <w:r>
              <w:rPr>
                <w:rFonts w:hint="eastAsia" w:ascii="宋体" w:hAnsi="宋体" w:cs="宋体"/>
                <w:sz w:val="18"/>
                <w:szCs w:val="18"/>
              </w:rPr>
              <w:t>行政处罚</w:t>
            </w:r>
          </w:p>
        </w:tc>
        <w:tc>
          <w:tcPr>
            <w:tcW w:w="3140" w:type="dxa"/>
            <w:tcBorders>
              <w:top w:val="single" w:color="000000" w:sz="4" w:space="0"/>
              <w:left w:val="single" w:color="000000" w:sz="4" w:space="0"/>
              <w:bottom w:val="single" w:color="000000" w:sz="4" w:space="0"/>
              <w:right w:val="single" w:color="000000" w:sz="4" w:space="0"/>
            </w:tcBorders>
            <w:vAlign w:val="center"/>
          </w:tcPr>
          <w:p w14:paraId="614148CE">
            <w:pPr>
              <w:spacing w:line="240" w:lineRule="exact"/>
              <w:rPr>
                <w:rFonts w:hint="eastAsia" w:ascii="宋体" w:hAnsi="宋体" w:eastAsia="宋体" w:cs="宋体"/>
                <w:sz w:val="18"/>
                <w:szCs w:val="18"/>
                <w:lang w:eastAsia="zh-CN"/>
              </w:rPr>
            </w:pPr>
            <w:r>
              <w:rPr>
                <w:rFonts w:hint="eastAsia" w:ascii="宋体" w:hAnsi="宋体" w:cs="宋体"/>
                <w:sz w:val="18"/>
                <w:szCs w:val="18"/>
              </w:rPr>
              <w:t>【地方性法规】《辽宁省合同监督条例》（2010年7月30日公布）</w:t>
            </w:r>
          </w:p>
          <w:p w14:paraId="4F68C3AC">
            <w:pPr>
              <w:spacing w:line="240" w:lineRule="exact"/>
              <w:rPr>
                <w:rFonts w:hint="eastAsia" w:ascii="宋体" w:hAnsi="宋体" w:eastAsia="宋体" w:cs="宋体"/>
                <w:sz w:val="18"/>
                <w:szCs w:val="18"/>
                <w:lang w:eastAsia="zh-CN"/>
              </w:rPr>
            </w:pPr>
            <w:r>
              <w:rPr>
                <w:rFonts w:hint="eastAsia" w:ascii="宋体" w:hAnsi="宋体" w:cs="宋体"/>
                <w:sz w:val="18"/>
                <w:szCs w:val="18"/>
              </w:rPr>
              <w:t>第七条 禁止下列危害国家利益、社会公共利益的行为：</w:t>
            </w:r>
          </w:p>
          <w:p w14:paraId="42500E8D">
            <w:pPr>
              <w:spacing w:line="240" w:lineRule="exact"/>
              <w:rPr>
                <w:rFonts w:hint="eastAsia" w:ascii="宋体" w:hAnsi="宋体" w:eastAsia="宋体" w:cs="宋体"/>
                <w:sz w:val="18"/>
                <w:szCs w:val="18"/>
                <w:lang w:eastAsia="zh-CN"/>
              </w:rPr>
            </w:pPr>
            <w:r>
              <w:rPr>
                <w:rFonts w:hint="eastAsia" w:ascii="宋体" w:hAnsi="宋体" w:cs="宋体"/>
                <w:sz w:val="18"/>
                <w:szCs w:val="18"/>
              </w:rPr>
              <w:t>（一）以欺诈、胁迫的手段订立合同，损害国家利益的；</w:t>
            </w:r>
          </w:p>
          <w:p w14:paraId="5B402DE2">
            <w:pPr>
              <w:spacing w:line="240" w:lineRule="exact"/>
              <w:rPr>
                <w:rFonts w:hint="eastAsia" w:ascii="宋体" w:hAnsi="宋体" w:eastAsia="宋体" w:cs="宋体"/>
                <w:sz w:val="18"/>
                <w:szCs w:val="18"/>
                <w:lang w:eastAsia="zh-CN"/>
              </w:rPr>
            </w:pPr>
            <w:r>
              <w:rPr>
                <w:rFonts w:hint="eastAsia" w:ascii="宋体" w:hAnsi="宋体" w:cs="宋体"/>
                <w:sz w:val="18"/>
                <w:szCs w:val="18"/>
              </w:rPr>
              <w:t>（二）通过贿赂订立、履行合同，侵占国有资产的；</w:t>
            </w:r>
          </w:p>
          <w:p w14:paraId="0DD3308F">
            <w:pPr>
              <w:spacing w:line="240" w:lineRule="exact"/>
              <w:rPr>
                <w:rFonts w:ascii="宋体" w:hAnsi="宋体" w:cs="宋体"/>
                <w:sz w:val="18"/>
                <w:szCs w:val="18"/>
              </w:rPr>
            </w:pPr>
            <w:r>
              <w:rPr>
                <w:rFonts w:hint="eastAsia" w:ascii="宋体" w:hAnsi="宋体" w:cs="宋体"/>
                <w:sz w:val="18"/>
                <w:szCs w:val="18"/>
              </w:rPr>
              <w:t>第十五条 违反本条例第七条第（一）、（二）项规定的，处以5万元以下罚款。</w:t>
            </w:r>
          </w:p>
        </w:tc>
        <w:tc>
          <w:tcPr>
            <w:tcW w:w="943" w:type="dxa"/>
            <w:tcBorders>
              <w:top w:val="single" w:color="000000" w:sz="4" w:space="0"/>
              <w:left w:val="single" w:color="000000" w:sz="4" w:space="0"/>
              <w:bottom w:val="single" w:color="000000" w:sz="4" w:space="0"/>
              <w:right w:val="single" w:color="000000" w:sz="4" w:space="0"/>
            </w:tcBorders>
            <w:vAlign w:val="center"/>
          </w:tcPr>
          <w:p w14:paraId="5FAFC5E6">
            <w:pPr>
              <w:spacing w:line="240" w:lineRule="exact"/>
              <w:jc w:val="center"/>
              <w:rPr>
                <w:rFonts w:ascii="宋体" w:hAnsi="宋体" w:cs="宋体"/>
                <w:sz w:val="18"/>
                <w:szCs w:val="18"/>
              </w:rPr>
            </w:pPr>
            <w:r>
              <w:rPr>
                <w:rFonts w:hint="eastAsia" w:ascii="宋体" w:hAnsi="宋体" w:cs="宋体"/>
                <w:sz w:val="18"/>
                <w:szCs w:val="18"/>
              </w:rPr>
              <w:t>县级市场监管部门</w:t>
            </w:r>
          </w:p>
        </w:tc>
        <w:tc>
          <w:tcPr>
            <w:tcW w:w="977" w:type="dxa"/>
            <w:tcBorders>
              <w:top w:val="single" w:color="000000" w:sz="4" w:space="0"/>
              <w:left w:val="single" w:color="000000" w:sz="4" w:space="0"/>
              <w:bottom w:val="single" w:color="auto" w:sz="4" w:space="0"/>
              <w:right w:val="single" w:color="000000" w:sz="4" w:space="0"/>
            </w:tcBorders>
            <w:vAlign w:val="center"/>
          </w:tcPr>
          <w:p w14:paraId="180431D2">
            <w:pPr>
              <w:spacing w:line="240" w:lineRule="exact"/>
              <w:rPr>
                <w:rFonts w:ascii="宋体" w:hAnsi="宋体" w:cs="宋体"/>
                <w:sz w:val="18"/>
                <w:szCs w:val="18"/>
              </w:rPr>
            </w:pPr>
            <w:r>
              <w:rPr>
                <w:rFonts w:hint="eastAsia" w:ascii="宋体" w:hAnsi="宋体" w:cs="宋体"/>
                <w:sz w:val="18"/>
                <w:szCs w:val="18"/>
              </w:rPr>
              <w:t>取消。取消后相关处罚内容按照《合同违法行为监督处理办法》相关条款实施。</w:t>
            </w:r>
          </w:p>
        </w:tc>
        <w:tc>
          <w:tcPr>
            <w:tcW w:w="981" w:type="dxa"/>
            <w:tcBorders>
              <w:top w:val="single" w:color="000000" w:sz="4" w:space="0"/>
              <w:left w:val="single" w:color="000000" w:sz="4" w:space="0"/>
              <w:bottom w:val="single" w:color="auto" w:sz="4" w:space="0"/>
              <w:right w:val="nil"/>
            </w:tcBorders>
            <w:vAlign w:val="center"/>
          </w:tcPr>
          <w:p w14:paraId="25AB830C">
            <w:pPr>
              <w:spacing w:line="240" w:lineRule="exact"/>
              <w:ind w:firstLine="360" w:firstLineChars="200"/>
              <w:rPr>
                <w:rFonts w:ascii="宋体" w:hAnsi="宋体" w:cs="宋体"/>
                <w:sz w:val="18"/>
                <w:szCs w:val="18"/>
              </w:rPr>
            </w:pPr>
          </w:p>
        </w:tc>
        <w:tc>
          <w:tcPr>
            <w:tcW w:w="636" w:type="dxa"/>
            <w:tcBorders>
              <w:top w:val="single" w:color="000000" w:sz="4" w:space="0"/>
              <w:left w:val="single" w:color="000000" w:sz="4" w:space="0"/>
              <w:bottom w:val="single" w:color="000000" w:sz="4" w:space="0"/>
              <w:right w:val="single" w:color="000000" w:sz="4" w:space="0"/>
            </w:tcBorders>
            <w:vAlign w:val="center"/>
          </w:tcPr>
          <w:p w14:paraId="3F9C7C56">
            <w:pPr>
              <w:spacing w:line="240" w:lineRule="exact"/>
              <w:ind w:firstLine="360" w:firstLineChars="200"/>
              <w:rPr>
                <w:rFonts w:ascii="宋体" w:hAnsi="宋体" w:cs="宋体"/>
                <w:sz w:val="18"/>
                <w:szCs w:val="18"/>
              </w:rPr>
            </w:pPr>
          </w:p>
        </w:tc>
      </w:tr>
      <w:tr w14:paraId="482AA676">
        <w:tblPrEx>
          <w:tblCellMar>
            <w:top w:w="0" w:type="dxa"/>
            <w:left w:w="108" w:type="dxa"/>
            <w:bottom w:w="0" w:type="dxa"/>
            <w:right w:w="108" w:type="dxa"/>
          </w:tblCellMar>
        </w:tblPrEx>
        <w:trPr>
          <w:trHeight w:val="93" w:hRule="atLeast"/>
          <w:jc w:val="center"/>
        </w:trPr>
        <w:tc>
          <w:tcPr>
            <w:tcW w:w="493" w:type="dxa"/>
            <w:tcBorders>
              <w:top w:val="single" w:color="000000" w:sz="4" w:space="0"/>
              <w:left w:val="single" w:color="000000" w:sz="4" w:space="0"/>
              <w:bottom w:val="single" w:color="000000" w:sz="4" w:space="0"/>
              <w:right w:val="single" w:color="000000" w:sz="4" w:space="0"/>
            </w:tcBorders>
            <w:noWrap/>
            <w:vAlign w:val="center"/>
          </w:tcPr>
          <w:p w14:paraId="431081EC">
            <w:pPr>
              <w:spacing w:line="240" w:lineRule="exact"/>
              <w:jc w:val="center"/>
              <w:rPr>
                <w:rFonts w:ascii="宋体" w:hAnsi="宋体" w:cs="宋体"/>
                <w:sz w:val="18"/>
                <w:szCs w:val="18"/>
              </w:rPr>
            </w:pPr>
            <w:r>
              <w:rPr>
                <w:rFonts w:hint="eastAsia" w:ascii="宋体" w:hAnsi="宋体" w:cs="宋体"/>
                <w:sz w:val="18"/>
                <w:szCs w:val="18"/>
              </w:rPr>
              <w:t>1</w:t>
            </w:r>
          </w:p>
        </w:tc>
        <w:tc>
          <w:tcPr>
            <w:tcW w:w="1087" w:type="dxa"/>
            <w:tcBorders>
              <w:top w:val="single" w:color="000000" w:sz="4" w:space="0"/>
              <w:left w:val="single" w:color="000000" w:sz="4" w:space="0"/>
              <w:bottom w:val="single" w:color="000000" w:sz="4" w:space="0"/>
              <w:right w:val="single" w:color="000000" w:sz="4" w:space="0"/>
            </w:tcBorders>
            <w:vAlign w:val="center"/>
          </w:tcPr>
          <w:p w14:paraId="3FFCB848">
            <w:pPr>
              <w:spacing w:line="240" w:lineRule="exact"/>
              <w:rPr>
                <w:rFonts w:ascii="宋体" w:hAnsi="宋体" w:cs="宋体"/>
                <w:sz w:val="18"/>
                <w:szCs w:val="18"/>
              </w:rPr>
            </w:pPr>
            <w:r>
              <w:rPr>
                <w:rFonts w:hint="eastAsia" w:ascii="宋体" w:hAnsi="宋体" w:cs="宋体"/>
                <w:sz w:val="18"/>
                <w:szCs w:val="18"/>
              </w:rPr>
              <w:t>对违反《辽宁省合同监督条例》行为的处罚</w:t>
            </w:r>
          </w:p>
        </w:tc>
        <w:tc>
          <w:tcPr>
            <w:tcW w:w="1139" w:type="dxa"/>
            <w:tcBorders>
              <w:top w:val="single" w:color="000000" w:sz="4" w:space="0"/>
              <w:left w:val="single" w:color="000000" w:sz="4" w:space="0"/>
              <w:bottom w:val="single" w:color="000000" w:sz="4" w:space="0"/>
              <w:right w:val="single" w:color="000000" w:sz="4" w:space="0"/>
            </w:tcBorders>
            <w:vAlign w:val="center"/>
          </w:tcPr>
          <w:p w14:paraId="779E4B82">
            <w:pPr>
              <w:spacing w:line="240" w:lineRule="exact"/>
              <w:rPr>
                <w:rFonts w:ascii="宋体" w:hAnsi="宋体" w:cs="宋体"/>
                <w:sz w:val="18"/>
                <w:szCs w:val="18"/>
              </w:rPr>
            </w:pPr>
            <w:r>
              <w:rPr>
                <w:rFonts w:hint="eastAsia" w:ascii="宋体" w:hAnsi="宋体" w:cs="宋体"/>
                <w:spacing w:val="-11"/>
                <w:sz w:val="18"/>
                <w:szCs w:val="18"/>
              </w:rPr>
              <w:t>3.对利用合同低价折股或者无偿、低价转让国有资产的；订立假合同或者倒卖合同，损害国家利益的；利用合同违法发包、分包、转包，牟取非法利益的行为的处罚</w:t>
            </w:r>
          </w:p>
        </w:tc>
        <w:tc>
          <w:tcPr>
            <w:tcW w:w="810" w:type="dxa"/>
            <w:tcBorders>
              <w:top w:val="single" w:color="000000" w:sz="4" w:space="0"/>
              <w:left w:val="single" w:color="000000" w:sz="4" w:space="0"/>
              <w:bottom w:val="single" w:color="000000" w:sz="4" w:space="0"/>
              <w:right w:val="single" w:color="000000" w:sz="4" w:space="0"/>
            </w:tcBorders>
            <w:vAlign w:val="center"/>
          </w:tcPr>
          <w:p w14:paraId="196525D1">
            <w:pPr>
              <w:spacing w:line="240" w:lineRule="exact"/>
              <w:jc w:val="center"/>
              <w:rPr>
                <w:rFonts w:ascii="宋体" w:hAnsi="宋体" w:cs="宋体"/>
                <w:sz w:val="18"/>
                <w:szCs w:val="18"/>
              </w:rPr>
            </w:pPr>
            <w:r>
              <w:rPr>
                <w:rFonts w:hint="eastAsia" w:ascii="宋体" w:hAnsi="宋体" w:cs="宋体"/>
                <w:sz w:val="18"/>
                <w:szCs w:val="18"/>
              </w:rPr>
              <w:t>行政处罚</w:t>
            </w:r>
          </w:p>
        </w:tc>
        <w:tc>
          <w:tcPr>
            <w:tcW w:w="3140" w:type="dxa"/>
            <w:tcBorders>
              <w:top w:val="single" w:color="000000" w:sz="4" w:space="0"/>
              <w:left w:val="single" w:color="000000" w:sz="4" w:space="0"/>
              <w:bottom w:val="single" w:color="000000" w:sz="4" w:space="0"/>
              <w:right w:val="single" w:color="000000" w:sz="4" w:space="0"/>
            </w:tcBorders>
            <w:vAlign w:val="center"/>
          </w:tcPr>
          <w:p w14:paraId="675DCFB6">
            <w:pPr>
              <w:spacing w:line="240" w:lineRule="exact"/>
              <w:rPr>
                <w:rFonts w:hint="eastAsia" w:ascii="宋体" w:hAnsi="宋体" w:eastAsia="宋体" w:cs="宋体"/>
                <w:sz w:val="18"/>
                <w:szCs w:val="18"/>
                <w:lang w:eastAsia="zh-CN"/>
              </w:rPr>
            </w:pPr>
            <w:r>
              <w:rPr>
                <w:rFonts w:hint="eastAsia" w:ascii="宋体" w:hAnsi="宋体" w:cs="宋体"/>
                <w:sz w:val="18"/>
                <w:szCs w:val="18"/>
              </w:rPr>
              <w:t>【地方性法规】《辽宁省合同监督条例》（2010年7月30日公布）</w:t>
            </w:r>
          </w:p>
          <w:p w14:paraId="50426210">
            <w:pPr>
              <w:spacing w:line="240" w:lineRule="exact"/>
              <w:rPr>
                <w:rFonts w:hint="eastAsia" w:ascii="宋体" w:hAnsi="宋体" w:eastAsia="宋体" w:cs="宋体"/>
                <w:sz w:val="18"/>
                <w:szCs w:val="18"/>
                <w:lang w:eastAsia="zh-CN"/>
              </w:rPr>
            </w:pPr>
            <w:r>
              <w:rPr>
                <w:rFonts w:hint="eastAsia" w:ascii="宋体" w:hAnsi="宋体" w:cs="宋体"/>
                <w:sz w:val="18"/>
                <w:szCs w:val="18"/>
              </w:rPr>
              <w:t>第七条 禁止下列危害国家利益、社会公共利益的行为：</w:t>
            </w:r>
          </w:p>
          <w:p w14:paraId="73501FEA">
            <w:pPr>
              <w:spacing w:line="240" w:lineRule="exact"/>
              <w:rPr>
                <w:rFonts w:hint="eastAsia" w:ascii="宋体" w:hAnsi="宋体" w:eastAsia="宋体" w:cs="宋体"/>
                <w:sz w:val="18"/>
                <w:szCs w:val="18"/>
                <w:lang w:eastAsia="zh-CN"/>
              </w:rPr>
            </w:pPr>
            <w:r>
              <w:rPr>
                <w:rFonts w:hint="eastAsia" w:ascii="宋体" w:hAnsi="宋体" w:cs="宋体"/>
                <w:sz w:val="18"/>
                <w:szCs w:val="18"/>
              </w:rPr>
              <w:t>（三）利用合同低价折股或者无偿、低价转让国有资产的；</w:t>
            </w:r>
          </w:p>
          <w:p w14:paraId="68314131">
            <w:pPr>
              <w:spacing w:line="240" w:lineRule="exact"/>
              <w:rPr>
                <w:rFonts w:hint="eastAsia" w:ascii="宋体" w:hAnsi="宋体" w:eastAsia="宋体" w:cs="宋体"/>
                <w:sz w:val="18"/>
                <w:szCs w:val="18"/>
                <w:lang w:eastAsia="zh-CN"/>
              </w:rPr>
            </w:pPr>
            <w:r>
              <w:rPr>
                <w:rFonts w:hint="eastAsia" w:ascii="宋体" w:hAnsi="宋体" w:cs="宋体"/>
                <w:sz w:val="18"/>
                <w:szCs w:val="18"/>
              </w:rPr>
              <w:t>（四）订立假合同或者倒卖合同，损害国家利益的；</w:t>
            </w:r>
          </w:p>
          <w:p w14:paraId="6BAB59F3">
            <w:pPr>
              <w:spacing w:line="240" w:lineRule="exact"/>
              <w:rPr>
                <w:rFonts w:hint="eastAsia" w:ascii="宋体" w:hAnsi="宋体" w:eastAsia="宋体" w:cs="宋体"/>
                <w:sz w:val="18"/>
                <w:szCs w:val="18"/>
                <w:lang w:eastAsia="zh-CN"/>
              </w:rPr>
            </w:pPr>
            <w:r>
              <w:rPr>
                <w:rFonts w:hint="eastAsia" w:ascii="宋体" w:hAnsi="宋体" w:cs="宋体"/>
                <w:sz w:val="18"/>
                <w:szCs w:val="18"/>
              </w:rPr>
              <w:t>（五）利用合同违法发包、分包、转包，牟取非法利益的；</w:t>
            </w:r>
          </w:p>
          <w:p w14:paraId="1D7A988F">
            <w:pPr>
              <w:spacing w:line="240" w:lineRule="exact"/>
              <w:rPr>
                <w:rFonts w:ascii="宋体" w:hAnsi="宋体" w:cs="宋体"/>
                <w:sz w:val="18"/>
                <w:szCs w:val="18"/>
              </w:rPr>
            </w:pPr>
            <w:r>
              <w:rPr>
                <w:rFonts w:hint="eastAsia" w:ascii="宋体" w:hAnsi="宋体" w:cs="宋体"/>
                <w:sz w:val="18"/>
                <w:szCs w:val="18"/>
              </w:rPr>
              <w:t>第十五条 违反本条例第七条第（三）、（四）、（五）项规定的，处以3万元以下罚款。</w:t>
            </w:r>
          </w:p>
        </w:tc>
        <w:tc>
          <w:tcPr>
            <w:tcW w:w="943" w:type="dxa"/>
            <w:tcBorders>
              <w:top w:val="single" w:color="000000" w:sz="4" w:space="0"/>
              <w:left w:val="single" w:color="000000" w:sz="4" w:space="0"/>
              <w:bottom w:val="single" w:color="000000" w:sz="4" w:space="0"/>
              <w:right w:val="single" w:color="auto" w:sz="4" w:space="0"/>
            </w:tcBorders>
            <w:vAlign w:val="center"/>
          </w:tcPr>
          <w:p w14:paraId="29ECE1E2">
            <w:pPr>
              <w:spacing w:line="240" w:lineRule="exact"/>
              <w:jc w:val="center"/>
              <w:rPr>
                <w:rFonts w:ascii="宋体" w:hAnsi="宋体" w:cs="宋体"/>
                <w:sz w:val="18"/>
                <w:szCs w:val="18"/>
              </w:rPr>
            </w:pPr>
            <w:r>
              <w:rPr>
                <w:rFonts w:hint="eastAsia" w:ascii="宋体" w:hAnsi="宋体" w:cs="宋体"/>
                <w:sz w:val="18"/>
                <w:szCs w:val="18"/>
              </w:rPr>
              <w:t>县级市场监管部门</w:t>
            </w:r>
          </w:p>
        </w:tc>
        <w:tc>
          <w:tcPr>
            <w:tcW w:w="977" w:type="dxa"/>
            <w:tcBorders>
              <w:top w:val="single" w:color="auto" w:sz="4" w:space="0"/>
              <w:left w:val="single" w:color="auto" w:sz="4" w:space="0"/>
              <w:bottom w:val="single" w:color="auto" w:sz="4" w:space="0"/>
              <w:right w:val="single" w:color="auto" w:sz="4" w:space="0"/>
            </w:tcBorders>
            <w:noWrap/>
            <w:vAlign w:val="center"/>
          </w:tcPr>
          <w:p w14:paraId="0E521EF9">
            <w:pPr>
              <w:spacing w:line="240" w:lineRule="exact"/>
              <w:jc w:val="center"/>
              <w:rPr>
                <w:rFonts w:ascii="宋体" w:hAnsi="宋体" w:cs="宋体"/>
                <w:sz w:val="18"/>
                <w:szCs w:val="18"/>
              </w:rPr>
            </w:pPr>
            <w:r>
              <w:rPr>
                <w:rFonts w:hint="eastAsia" w:ascii="宋体" w:hAnsi="宋体" w:cs="宋体"/>
                <w:sz w:val="18"/>
                <w:szCs w:val="18"/>
              </w:rPr>
              <w:t>取消</w:t>
            </w:r>
          </w:p>
        </w:tc>
        <w:tc>
          <w:tcPr>
            <w:tcW w:w="981" w:type="dxa"/>
            <w:tcBorders>
              <w:top w:val="single" w:color="auto" w:sz="4" w:space="0"/>
              <w:left w:val="single" w:color="auto" w:sz="4" w:space="0"/>
              <w:bottom w:val="single" w:color="auto" w:sz="4" w:space="0"/>
              <w:right w:val="single" w:color="auto" w:sz="4" w:space="0"/>
            </w:tcBorders>
            <w:noWrap/>
            <w:vAlign w:val="center"/>
          </w:tcPr>
          <w:p w14:paraId="4E0AE607">
            <w:pPr>
              <w:spacing w:line="240" w:lineRule="exact"/>
              <w:ind w:firstLine="360" w:firstLineChars="200"/>
              <w:rPr>
                <w:rFonts w:ascii="宋体" w:hAnsi="宋体" w:cs="宋体"/>
                <w:sz w:val="18"/>
                <w:szCs w:val="18"/>
              </w:rPr>
            </w:pPr>
          </w:p>
        </w:tc>
        <w:tc>
          <w:tcPr>
            <w:tcW w:w="636" w:type="dxa"/>
            <w:tcBorders>
              <w:top w:val="single" w:color="000000" w:sz="4" w:space="0"/>
              <w:left w:val="single" w:color="auto" w:sz="4" w:space="0"/>
              <w:bottom w:val="single" w:color="000000" w:sz="4" w:space="0"/>
              <w:right w:val="single" w:color="000000" w:sz="4" w:space="0"/>
            </w:tcBorders>
            <w:vAlign w:val="center"/>
          </w:tcPr>
          <w:p w14:paraId="499E552D">
            <w:pPr>
              <w:spacing w:line="240" w:lineRule="exact"/>
              <w:ind w:firstLine="360" w:firstLineChars="200"/>
              <w:rPr>
                <w:rFonts w:ascii="宋体" w:hAnsi="宋体" w:cs="宋体"/>
                <w:sz w:val="18"/>
                <w:szCs w:val="18"/>
              </w:rPr>
            </w:pPr>
          </w:p>
        </w:tc>
      </w:tr>
      <w:tr w14:paraId="65C2B79E">
        <w:tblPrEx>
          <w:tblCellMar>
            <w:top w:w="0" w:type="dxa"/>
            <w:left w:w="108" w:type="dxa"/>
            <w:bottom w:w="0" w:type="dxa"/>
            <w:right w:w="108" w:type="dxa"/>
          </w:tblCellMar>
        </w:tblPrEx>
        <w:trPr>
          <w:trHeight w:val="1280" w:hRule="atLeast"/>
          <w:jc w:val="center"/>
        </w:trPr>
        <w:tc>
          <w:tcPr>
            <w:tcW w:w="493" w:type="dxa"/>
            <w:tcBorders>
              <w:top w:val="single" w:color="000000" w:sz="4" w:space="0"/>
              <w:left w:val="single" w:color="000000" w:sz="4" w:space="0"/>
              <w:bottom w:val="single" w:color="000000" w:sz="4" w:space="0"/>
              <w:right w:val="single" w:color="000000" w:sz="4" w:space="0"/>
            </w:tcBorders>
            <w:noWrap/>
            <w:vAlign w:val="center"/>
          </w:tcPr>
          <w:p w14:paraId="173897AF">
            <w:pPr>
              <w:spacing w:line="240" w:lineRule="exact"/>
              <w:jc w:val="center"/>
              <w:rPr>
                <w:rFonts w:ascii="宋体" w:hAnsi="宋体" w:cs="宋体"/>
                <w:sz w:val="18"/>
                <w:szCs w:val="18"/>
              </w:rPr>
            </w:pPr>
            <w:r>
              <w:rPr>
                <w:rFonts w:hint="eastAsia" w:ascii="宋体" w:hAnsi="宋体" w:cs="宋体"/>
                <w:sz w:val="18"/>
                <w:szCs w:val="18"/>
              </w:rPr>
              <w:t>1</w:t>
            </w:r>
          </w:p>
        </w:tc>
        <w:tc>
          <w:tcPr>
            <w:tcW w:w="1087" w:type="dxa"/>
            <w:tcBorders>
              <w:top w:val="single" w:color="000000" w:sz="4" w:space="0"/>
              <w:left w:val="single" w:color="000000" w:sz="4" w:space="0"/>
              <w:bottom w:val="single" w:color="000000" w:sz="4" w:space="0"/>
              <w:right w:val="single" w:color="000000" w:sz="4" w:space="0"/>
            </w:tcBorders>
            <w:vAlign w:val="center"/>
          </w:tcPr>
          <w:p w14:paraId="0A3D6DEA">
            <w:pPr>
              <w:spacing w:line="240" w:lineRule="exact"/>
              <w:rPr>
                <w:rFonts w:ascii="宋体" w:hAnsi="宋体" w:cs="宋体"/>
                <w:sz w:val="18"/>
                <w:szCs w:val="18"/>
              </w:rPr>
            </w:pPr>
            <w:r>
              <w:rPr>
                <w:rFonts w:hint="eastAsia" w:ascii="宋体" w:hAnsi="宋体" w:cs="宋体"/>
                <w:sz w:val="18"/>
                <w:szCs w:val="18"/>
              </w:rPr>
              <w:t>对违反《辽宁省合同监督条例》行为的处罚</w:t>
            </w:r>
          </w:p>
        </w:tc>
        <w:tc>
          <w:tcPr>
            <w:tcW w:w="1139" w:type="dxa"/>
            <w:tcBorders>
              <w:top w:val="single" w:color="000000" w:sz="4" w:space="0"/>
              <w:left w:val="single" w:color="000000" w:sz="4" w:space="0"/>
              <w:bottom w:val="single" w:color="000000" w:sz="4" w:space="0"/>
              <w:right w:val="single" w:color="000000" w:sz="4" w:space="0"/>
            </w:tcBorders>
            <w:vAlign w:val="center"/>
          </w:tcPr>
          <w:p w14:paraId="593C273E">
            <w:pPr>
              <w:spacing w:line="240" w:lineRule="exact"/>
              <w:rPr>
                <w:rFonts w:ascii="宋体" w:hAnsi="宋体" w:cs="宋体"/>
                <w:sz w:val="18"/>
                <w:szCs w:val="18"/>
              </w:rPr>
            </w:pPr>
            <w:r>
              <w:rPr>
                <w:rFonts w:hint="eastAsia" w:ascii="宋体" w:hAnsi="宋体" w:cs="宋体"/>
                <w:sz w:val="18"/>
                <w:szCs w:val="18"/>
              </w:rPr>
              <w:t>4.对利用合同经销国家禁止或者特许经营、限制经营物资的行为的处罚</w:t>
            </w:r>
          </w:p>
        </w:tc>
        <w:tc>
          <w:tcPr>
            <w:tcW w:w="810" w:type="dxa"/>
            <w:tcBorders>
              <w:top w:val="single" w:color="000000" w:sz="4" w:space="0"/>
              <w:left w:val="single" w:color="000000" w:sz="4" w:space="0"/>
              <w:bottom w:val="single" w:color="000000" w:sz="4" w:space="0"/>
              <w:right w:val="single" w:color="000000" w:sz="4" w:space="0"/>
            </w:tcBorders>
            <w:vAlign w:val="center"/>
          </w:tcPr>
          <w:p w14:paraId="584B8EEE">
            <w:pPr>
              <w:spacing w:line="240" w:lineRule="exact"/>
              <w:jc w:val="center"/>
              <w:rPr>
                <w:rFonts w:ascii="宋体" w:hAnsi="宋体" w:cs="宋体"/>
                <w:sz w:val="18"/>
                <w:szCs w:val="18"/>
              </w:rPr>
            </w:pPr>
            <w:r>
              <w:rPr>
                <w:rFonts w:hint="eastAsia" w:ascii="宋体" w:hAnsi="宋体" w:cs="宋体"/>
                <w:sz w:val="18"/>
                <w:szCs w:val="18"/>
              </w:rPr>
              <w:t>行政处罚</w:t>
            </w:r>
          </w:p>
        </w:tc>
        <w:tc>
          <w:tcPr>
            <w:tcW w:w="3140" w:type="dxa"/>
            <w:tcBorders>
              <w:top w:val="single" w:color="000000" w:sz="4" w:space="0"/>
              <w:left w:val="single" w:color="000000" w:sz="4" w:space="0"/>
              <w:bottom w:val="single" w:color="000000" w:sz="4" w:space="0"/>
              <w:right w:val="single" w:color="000000" w:sz="4" w:space="0"/>
            </w:tcBorders>
            <w:vAlign w:val="center"/>
          </w:tcPr>
          <w:p w14:paraId="4D4F9C26">
            <w:pPr>
              <w:spacing w:line="240" w:lineRule="exact"/>
              <w:rPr>
                <w:rFonts w:hint="eastAsia" w:ascii="宋体" w:hAnsi="宋体" w:eastAsia="宋体" w:cs="宋体"/>
                <w:sz w:val="18"/>
                <w:szCs w:val="18"/>
                <w:lang w:eastAsia="zh-CN"/>
              </w:rPr>
            </w:pPr>
            <w:r>
              <w:rPr>
                <w:rFonts w:hint="eastAsia" w:ascii="宋体" w:hAnsi="宋体" w:cs="宋体"/>
                <w:sz w:val="18"/>
                <w:szCs w:val="18"/>
              </w:rPr>
              <w:t>【地方性法规】《辽宁省合同监督条例》（2010年7月30日公布）</w:t>
            </w:r>
          </w:p>
          <w:p w14:paraId="548A60F7">
            <w:pPr>
              <w:spacing w:line="240" w:lineRule="exact"/>
              <w:rPr>
                <w:rFonts w:hint="eastAsia" w:ascii="宋体" w:hAnsi="宋体" w:eastAsia="宋体" w:cs="宋体"/>
                <w:sz w:val="18"/>
                <w:szCs w:val="18"/>
                <w:lang w:eastAsia="zh-CN"/>
              </w:rPr>
            </w:pPr>
            <w:r>
              <w:rPr>
                <w:rFonts w:hint="eastAsia" w:ascii="宋体" w:hAnsi="宋体" w:cs="宋体"/>
                <w:sz w:val="18"/>
                <w:szCs w:val="18"/>
              </w:rPr>
              <w:t>第七条 禁止下列危害国家利益、社会公共利益的行为：</w:t>
            </w:r>
          </w:p>
          <w:p w14:paraId="44C39DFF">
            <w:pPr>
              <w:spacing w:line="240" w:lineRule="exact"/>
              <w:rPr>
                <w:rFonts w:hint="eastAsia" w:ascii="宋体" w:hAnsi="宋体" w:eastAsia="宋体" w:cs="宋体"/>
                <w:sz w:val="18"/>
                <w:szCs w:val="18"/>
                <w:lang w:eastAsia="zh-CN"/>
              </w:rPr>
            </w:pPr>
            <w:r>
              <w:rPr>
                <w:rFonts w:hint="eastAsia" w:ascii="宋体" w:hAnsi="宋体" w:cs="宋体"/>
                <w:sz w:val="18"/>
                <w:szCs w:val="18"/>
              </w:rPr>
              <w:t>（六）利用合同经销国家禁止或者特许经营、限制经营物资的；</w:t>
            </w:r>
          </w:p>
          <w:p w14:paraId="696C00C5">
            <w:pPr>
              <w:spacing w:line="240" w:lineRule="exact"/>
              <w:rPr>
                <w:rFonts w:ascii="宋体" w:hAnsi="宋体" w:cs="宋体"/>
                <w:sz w:val="18"/>
                <w:szCs w:val="18"/>
              </w:rPr>
            </w:pPr>
            <w:r>
              <w:rPr>
                <w:rFonts w:hint="eastAsia" w:ascii="宋体" w:hAnsi="宋体" w:cs="宋体"/>
                <w:sz w:val="18"/>
                <w:szCs w:val="18"/>
              </w:rPr>
              <w:t>第十五条 违反本条例第七条第（六）项规定的，没收物资，处以物资等值20％以下罚款。</w:t>
            </w:r>
          </w:p>
        </w:tc>
        <w:tc>
          <w:tcPr>
            <w:tcW w:w="943" w:type="dxa"/>
            <w:tcBorders>
              <w:top w:val="single" w:color="000000" w:sz="4" w:space="0"/>
              <w:left w:val="single" w:color="000000" w:sz="4" w:space="0"/>
              <w:bottom w:val="single" w:color="000000" w:sz="4" w:space="0"/>
              <w:right w:val="single" w:color="000000" w:sz="4" w:space="0"/>
            </w:tcBorders>
            <w:vAlign w:val="center"/>
          </w:tcPr>
          <w:p w14:paraId="1FC9290D">
            <w:pPr>
              <w:spacing w:line="240" w:lineRule="exact"/>
              <w:jc w:val="center"/>
              <w:rPr>
                <w:rFonts w:ascii="宋体" w:hAnsi="宋体" w:cs="宋体"/>
                <w:sz w:val="18"/>
                <w:szCs w:val="18"/>
              </w:rPr>
            </w:pPr>
            <w:r>
              <w:rPr>
                <w:rFonts w:hint="eastAsia" w:ascii="宋体" w:hAnsi="宋体" w:cs="宋体"/>
                <w:sz w:val="18"/>
                <w:szCs w:val="18"/>
              </w:rPr>
              <w:t>县级市场监管部门</w:t>
            </w:r>
          </w:p>
        </w:tc>
        <w:tc>
          <w:tcPr>
            <w:tcW w:w="977" w:type="dxa"/>
            <w:tcBorders>
              <w:top w:val="single" w:color="auto" w:sz="4" w:space="0"/>
              <w:left w:val="single" w:color="000000" w:sz="4" w:space="0"/>
              <w:bottom w:val="single" w:color="000000" w:sz="4" w:space="0"/>
              <w:right w:val="single" w:color="000000" w:sz="4" w:space="0"/>
            </w:tcBorders>
            <w:vAlign w:val="center"/>
          </w:tcPr>
          <w:p w14:paraId="2C5D2DA3">
            <w:pPr>
              <w:spacing w:line="240" w:lineRule="exact"/>
              <w:rPr>
                <w:rFonts w:ascii="宋体" w:hAnsi="宋体" w:cs="宋体"/>
                <w:sz w:val="18"/>
                <w:szCs w:val="18"/>
              </w:rPr>
            </w:pPr>
            <w:r>
              <w:rPr>
                <w:rFonts w:hint="eastAsia" w:ascii="宋体" w:hAnsi="宋体" w:cs="宋体"/>
                <w:sz w:val="18"/>
                <w:szCs w:val="18"/>
              </w:rPr>
              <w:t>取消。取消后相关处罚内容按照《合同违法行为监督处理办法》相关条款实施。</w:t>
            </w:r>
          </w:p>
        </w:tc>
        <w:tc>
          <w:tcPr>
            <w:tcW w:w="981" w:type="dxa"/>
            <w:tcBorders>
              <w:top w:val="single" w:color="auto" w:sz="4" w:space="0"/>
              <w:left w:val="single" w:color="000000" w:sz="4" w:space="0"/>
              <w:bottom w:val="single" w:color="000000" w:sz="4" w:space="0"/>
              <w:right w:val="single" w:color="000000" w:sz="4" w:space="0"/>
            </w:tcBorders>
            <w:vAlign w:val="center"/>
          </w:tcPr>
          <w:p w14:paraId="6548EE3C">
            <w:pPr>
              <w:spacing w:line="240" w:lineRule="exact"/>
              <w:ind w:firstLine="360" w:firstLineChars="200"/>
              <w:rPr>
                <w:rFonts w:ascii="宋体" w:hAnsi="宋体" w:cs="宋体"/>
                <w:sz w:val="18"/>
                <w:szCs w:val="18"/>
              </w:rPr>
            </w:pPr>
          </w:p>
        </w:tc>
        <w:tc>
          <w:tcPr>
            <w:tcW w:w="636" w:type="dxa"/>
            <w:tcBorders>
              <w:top w:val="single" w:color="000000" w:sz="4" w:space="0"/>
              <w:left w:val="single" w:color="000000" w:sz="4" w:space="0"/>
              <w:bottom w:val="single" w:color="000000" w:sz="4" w:space="0"/>
              <w:right w:val="single" w:color="000000" w:sz="4" w:space="0"/>
            </w:tcBorders>
            <w:vAlign w:val="center"/>
          </w:tcPr>
          <w:p w14:paraId="49C5A5F9">
            <w:pPr>
              <w:spacing w:line="240" w:lineRule="exact"/>
              <w:ind w:firstLine="360" w:firstLineChars="200"/>
              <w:rPr>
                <w:rFonts w:ascii="宋体" w:hAnsi="宋体" w:cs="宋体"/>
                <w:sz w:val="18"/>
                <w:szCs w:val="18"/>
              </w:rPr>
            </w:pPr>
          </w:p>
        </w:tc>
      </w:tr>
      <w:tr w14:paraId="1E42C136">
        <w:tblPrEx>
          <w:tblCellMar>
            <w:top w:w="0" w:type="dxa"/>
            <w:left w:w="108" w:type="dxa"/>
            <w:bottom w:w="0" w:type="dxa"/>
            <w:right w:w="108" w:type="dxa"/>
          </w:tblCellMar>
        </w:tblPrEx>
        <w:trPr>
          <w:trHeight w:val="2453" w:hRule="atLeast"/>
          <w:jc w:val="center"/>
        </w:trPr>
        <w:tc>
          <w:tcPr>
            <w:tcW w:w="493" w:type="dxa"/>
            <w:tcBorders>
              <w:top w:val="single" w:color="000000" w:sz="4" w:space="0"/>
              <w:left w:val="single" w:color="000000" w:sz="4" w:space="0"/>
              <w:bottom w:val="single" w:color="000000" w:sz="4" w:space="0"/>
              <w:right w:val="single" w:color="000000" w:sz="4" w:space="0"/>
            </w:tcBorders>
            <w:noWrap/>
            <w:vAlign w:val="center"/>
          </w:tcPr>
          <w:p w14:paraId="2B0F42A4">
            <w:pPr>
              <w:spacing w:line="240" w:lineRule="exact"/>
              <w:jc w:val="center"/>
              <w:rPr>
                <w:rFonts w:ascii="宋体" w:hAnsi="宋体" w:cs="宋体"/>
                <w:sz w:val="18"/>
                <w:szCs w:val="18"/>
              </w:rPr>
            </w:pPr>
            <w:r>
              <w:rPr>
                <w:rFonts w:hint="eastAsia" w:ascii="宋体" w:hAnsi="宋体" w:cs="宋体"/>
                <w:sz w:val="18"/>
                <w:szCs w:val="18"/>
              </w:rPr>
              <w:t>1</w:t>
            </w:r>
          </w:p>
        </w:tc>
        <w:tc>
          <w:tcPr>
            <w:tcW w:w="1087" w:type="dxa"/>
            <w:tcBorders>
              <w:top w:val="single" w:color="000000" w:sz="4" w:space="0"/>
              <w:left w:val="single" w:color="000000" w:sz="4" w:space="0"/>
              <w:bottom w:val="single" w:color="000000" w:sz="4" w:space="0"/>
              <w:right w:val="single" w:color="000000" w:sz="4" w:space="0"/>
            </w:tcBorders>
            <w:vAlign w:val="center"/>
          </w:tcPr>
          <w:p w14:paraId="78E98411">
            <w:pPr>
              <w:spacing w:line="240" w:lineRule="exact"/>
              <w:rPr>
                <w:rFonts w:ascii="宋体" w:hAnsi="宋体" w:cs="宋体"/>
                <w:sz w:val="18"/>
                <w:szCs w:val="18"/>
              </w:rPr>
            </w:pPr>
            <w:r>
              <w:rPr>
                <w:rFonts w:hint="eastAsia" w:ascii="宋体" w:hAnsi="宋体" w:cs="宋体"/>
                <w:sz w:val="18"/>
                <w:szCs w:val="18"/>
              </w:rPr>
              <w:t>对违反《辽宁省合同监督条例》行为的处罚</w:t>
            </w:r>
          </w:p>
        </w:tc>
        <w:tc>
          <w:tcPr>
            <w:tcW w:w="1139" w:type="dxa"/>
            <w:tcBorders>
              <w:top w:val="single" w:color="000000" w:sz="4" w:space="0"/>
              <w:left w:val="single" w:color="000000" w:sz="4" w:space="0"/>
              <w:bottom w:val="single" w:color="000000" w:sz="4" w:space="0"/>
              <w:right w:val="single" w:color="000000" w:sz="4" w:space="0"/>
            </w:tcBorders>
            <w:vAlign w:val="center"/>
          </w:tcPr>
          <w:p w14:paraId="7C796A85">
            <w:pPr>
              <w:spacing w:line="240" w:lineRule="exact"/>
              <w:rPr>
                <w:rFonts w:ascii="宋体" w:hAnsi="宋体" w:cs="宋体"/>
                <w:sz w:val="18"/>
                <w:szCs w:val="18"/>
              </w:rPr>
            </w:pPr>
            <w:r>
              <w:rPr>
                <w:rFonts w:hint="eastAsia" w:ascii="宋体" w:hAnsi="宋体" w:cs="宋体"/>
                <w:sz w:val="18"/>
                <w:szCs w:val="18"/>
              </w:rPr>
              <w:t>5.对利用合同垄断经营、限制竞争，破坏市场公平竞争秩序等行为的处罚</w:t>
            </w:r>
          </w:p>
        </w:tc>
        <w:tc>
          <w:tcPr>
            <w:tcW w:w="810" w:type="dxa"/>
            <w:tcBorders>
              <w:top w:val="single" w:color="000000" w:sz="4" w:space="0"/>
              <w:left w:val="single" w:color="000000" w:sz="4" w:space="0"/>
              <w:bottom w:val="single" w:color="000000" w:sz="4" w:space="0"/>
              <w:right w:val="single" w:color="000000" w:sz="4" w:space="0"/>
            </w:tcBorders>
            <w:vAlign w:val="center"/>
          </w:tcPr>
          <w:p w14:paraId="32A48A24">
            <w:pPr>
              <w:spacing w:line="240" w:lineRule="exact"/>
              <w:jc w:val="center"/>
              <w:rPr>
                <w:rFonts w:ascii="宋体" w:hAnsi="宋体" w:cs="宋体"/>
                <w:sz w:val="18"/>
                <w:szCs w:val="18"/>
              </w:rPr>
            </w:pPr>
            <w:r>
              <w:rPr>
                <w:rFonts w:hint="eastAsia" w:ascii="宋体" w:hAnsi="宋体" w:cs="宋体"/>
                <w:sz w:val="18"/>
                <w:szCs w:val="18"/>
              </w:rPr>
              <w:t>行政处罚</w:t>
            </w:r>
          </w:p>
        </w:tc>
        <w:tc>
          <w:tcPr>
            <w:tcW w:w="3140" w:type="dxa"/>
            <w:tcBorders>
              <w:top w:val="single" w:color="000000" w:sz="4" w:space="0"/>
              <w:left w:val="single" w:color="000000" w:sz="4" w:space="0"/>
              <w:bottom w:val="single" w:color="000000" w:sz="4" w:space="0"/>
              <w:right w:val="single" w:color="000000" w:sz="4" w:space="0"/>
            </w:tcBorders>
            <w:vAlign w:val="center"/>
          </w:tcPr>
          <w:p w14:paraId="0E10205B">
            <w:pPr>
              <w:spacing w:line="240" w:lineRule="exact"/>
              <w:rPr>
                <w:rFonts w:hint="eastAsia" w:ascii="宋体" w:hAnsi="宋体" w:eastAsia="宋体" w:cs="宋体"/>
                <w:sz w:val="18"/>
                <w:szCs w:val="18"/>
                <w:lang w:eastAsia="zh-CN"/>
              </w:rPr>
            </w:pPr>
            <w:r>
              <w:rPr>
                <w:rFonts w:hint="eastAsia" w:ascii="宋体" w:hAnsi="宋体" w:cs="宋体"/>
                <w:sz w:val="18"/>
                <w:szCs w:val="18"/>
              </w:rPr>
              <w:t>【地方性法规】《辽宁省合同监督条例》（2010年7月30日公布）</w:t>
            </w:r>
          </w:p>
          <w:p w14:paraId="3B3B2B51">
            <w:pPr>
              <w:spacing w:line="240" w:lineRule="exact"/>
              <w:rPr>
                <w:rFonts w:hint="eastAsia" w:ascii="宋体" w:hAnsi="宋体" w:eastAsia="宋体" w:cs="宋体"/>
                <w:sz w:val="18"/>
                <w:szCs w:val="18"/>
                <w:lang w:eastAsia="zh-CN"/>
              </w:rPr>
            </w:pPr>
            <w:r>
              <w:rPr>
                <w:rFonts w:hint="eastAsia" w:ascii="宋体" w:hAnsi="宋体" w:cs="宋体"/>
                <w:sz w:val="18"/>
                <w:szCs w:val="18"/>
              </w:rPr>
              <w:t>第七条 禁止下列危害国家利益、社会公共利益的行为：</w:t>
            </w:r>
          </w:p>
          <w:p w14:paraId="042BF44E">
            <w:pPr>
              <w:spacing w:line="240" w:lineRule="exact"/>
              <w:rPr>
                <w:rFonts w:hint="eastAsia" w:ascii="宋体" w:hAnsi="宋体" w:eastAsia="宋体" w:cs="宋体"/>
                <w:sz w:val="18"/>
                <w:szCs w:val="18"/>
                <w:lang w:eastAsia="zh-CN"/>
              </w:rPr>
            </w:pPr>
            <w:r>
              <w:rPr>
                <w:rFonts w:hint="eastAsia" w:ascii="宋体" w:hAnsi="宋体" w:cs="宋体"/>
                <w:sz w:val="18"/>
                <w:szCs w:val="18"/>
              </w:rPr>
              <w:t>（七）利用合同垄断经营、限制竞争，破坏市场公平竞争秩序的；</w:t>
            </w:r>
          </w:p>
          <w:p w14:paraId="6BE60462">
            <w:pPr>
              <w:spacing w:line="240" w:lineRule="exact"/>
              <w:rPr>
                <w:rFonts w:hint="eastAsia" w:ascii="宋体" w:hAnsi="宋体" w:eastAsia="宋体" w:cs="宋体"/>
                <w:sz w:val="18"/>
                <w:szCs w:val="18"/>
                <w:lang w:eastAsia="zh-CN"/>
              </w:rPr>
            </w:pPr>
            <w:r>
              <w:rPr>
                <w:rFonts w:hint="eastAsia" w:ascii="宋体" w:hAnsi="宋体" w:cs="宋体"/>
                <w:sz w:val="18"/>
                <w:szCs w:val="18"/>
              </w:rPr>
              <w:t>（八）以欺诈手段订立、履行合同，侵害消费者或者经营者合法权益的；</w:t>
            </w:r>
          </w:p>
          <w:p w14:paraId="75D4B7FE">
            <w:pPr>
              <w:spacing w:line="240" w:lineRule="exact"/>
              <w:rPr>
                <w:rFonts w:hint="eastAsia" w:ascii="宋体" w:hAnsi="宋体" w:eastAsia="宋体" w:cs="宋体"/>
                <w:sz w:val="18"/>
                <w:szCs w:val="18"/>
                <w:lang w:eastAsia="zh-CN"/>
              </w:rPr>
            </w:pPr>
            <w:r>
              <w:rPr>
                <w:rFonts w:hint="eastAsia" w:ascii="宋体" w:hAnsi="宋体" w:cs="宋体"/>
                <w:sz w:val="18"/>
                <w:szCs w:val="18"/>
              </w:rPr>
              <w:t>（九）其他利用合同危害国家利益、社会公共利益的。</w:t>
            </w:r>
          </w:p>
          <w:p w14:paraId="723B4482">
            <w:pPr>
              <w:spacing w:line="240" w:lineRule="exact"/>
              <w:rPr>
                <w:rFonts w:ascii="宋体" w:hAnsi="宋体" w:cs="宋体"/>
                <w:sz w:val="18"/>
                <w:szCs w:val="18"/>
              </w:rPr>
            </w:pPr>
            <w:r>
              <w:rPr>
                <w:rFonts w:hint="eastAsia" w:ascii="宋体" w:hAnsi="宋体" w:cs="宋体"/>
                <w:sz w:val="18"/>
                <w:szCs w:val="18"/>
              </w:rPr>
              <w:t>第十五条 违反本条例第七条第（七）、（八）、（九）项规定的，处以2万元以下罚款。</w:t>
            </w:r>
          </w:p>
        </w:tc>
        <w:tc>
          <w:tcPr>
            <w:tcW w:w="943" w:type="dxa"/>
            <w:tcBorders>
              <w:top w:val="single" w:color="000000" w:sz="4" w:space="0"/>
              <w:left w:val="single" w:color="000000" w:sz="4" w:space="0"/>
              <w:bottom w:val="single" w:color="000000" w:sz="4" w:space="0"/>
              <w:right w:val="single" w:color="000000" w:sz="4" w:space="0"/>
            </w:tcBorders>
            <w:vAlign w:val="center"/>
          </w:tcPr>
          <w:p w14:paraId="2E0DE427">
            <w:pPr>
              <w:spacing w:line="240" w:lineRule="exact"/>
              <w:jc w:val="center"/>
              <w:rPr>
                <w:rFonts w:ascii="宋体" w:hAnsi="宋体" w:cs="宋体"/>
                <w:sz w:val="18"/>
                <w:szCs w:val="18"/>
              </w:rPr>
            </w:pPr>
            <w:r>
              <w:rPr>
                <w:rFonts w:hint="eastAsia" w:ascii="宋体" w:hAnsi="宋体" w:cs="宋体"/>
                <w:sz w:val="18"/>
                <w:szCs w:val="18"/>
              </w:rPr>
              <w:t>县级市场监管部门</w:t>
            </w:r>
          </w:p>
        </w:tc>
        <w:tc>
          <w:tcPr>
            <w:tcW w:w="977" w:type="dxa"/>
            <w:tcBorders>
              <w:top w:val="single" w:color="000000" w:sz="4" w:space="0"/>
              <w:left w:val="single" w:color="000000" w:sz="4" w:space="0"/>
              <w:bottom w:val="single" w:color="000000" w:sz="4" w:space="0"/>
              <w:right w:val="single" w:color="000000" w:sz="4" w:space="0"/>
            </w:tcBorders>
            <w:vAlign w:val="center"/>
          </w:tcPr>
          <w:p w14:paraId="27FBD92B">
            <w:pPr>
              <w:spacing w:line="240" w:lineRule="exact"/>
              <w:rPr>
                <w:rFonts w:ascii="宋体" w:hAnsi="宋体" w:cs="宋体"/>
                <w:sz w:val="18"/>
                <w:szCs w:val="18"/>
              </w:rPr>
            </w:pPr>
            <w:r>
              <w:rPr>
                <w:rFonts w:hint="eastAsia" w:ascii="宋体" w:hAnsi="宋体" w:cs="宋体"/>
                <w:spacing w:val="-6"/>
                <w:sz w:val="18"/>
                <w:szCs w:val="18"/>
              </w:rPr>
              <w:t>取消。取消后相关处罚内容按照《反垄断法》、《反不正当竞争法》、《合同违法行为监督处理办法》相关条款实施。</w:t>
            </w:r>
          </w:p>
        </w:tc>
        <w:tc>
          <w:tcPr>
            <w:tcW w:w="981" w:type="dxa"/>
            <w:tcBorders>
              <w:top w:val="single" w:color="000000" w:sz="4" w:space="0"/>
              <w:left w:val="single" w:color="000000" w:sz="4" w:space="0"/>
              <w:bottom w:val="single" w:color="000000" w:sz="4" w:space="0"/>
              <w:right w:val="single" w:color="000000" w:sz="4" w:space="0"/>
            </w:tcBorders>
            <w:vAlign w:val="center"/>
          </w:tcPr>
          <w:p w14:paraId="4862FD7D">
            <w:pPr>
              <w:spacing w:line="240" w:lineRule="exact"/>
              <w:ind w:firstLine="360" w:firstLineChars="200"/>
              <w:rPr>
                <w:rFonts w:ascii="宋体" w:hAnsi="宋体" w:cs="宋体"/>
                <w:sz w:val="18"/>
                <w:szCs w:val="18"/>
              </w:rPr>
            </w:pPr>
          </w:p>
        </w:tc>
        <w:tc>
          <w:tcPr>
            <w:tcW w:w="636" w:type="dxa"/>
            <w:tcBorders>
              <w:top w:val="single" w:color="000000" w:sz="4" w:space="0"/>
              <w:left w:val="single" w:color="000000" w:sz="4" w:space="0"/>
              <w:bottom w:val="single" w:color="000000" w:sz="4" w:space="0"/>
              <w:right w:val="single" w:color="000000" w:sz="4" w:space="0"/>
            </w:tcBorders>
            <w:vAlign w:val="center"/>
          </w:tcPr>
          <w:p w14:paraId="1762D333">
            <w:pPr>
              <w:spacing w:line="240" w:lineRule="exact"/>
              <w:ind w:firstLine="360" w:firstLineChars="200"/>
              <w:rPr>
                <w:rFonts w:ascii="宋体" w:hAnsi="宋体" w:cs="宋体"/>
                <w:sz w:val="18"/>
                <w:szCs w:val="18"/>
              </w:rPr>
            </w:pPr>
          </w:p>
        </w:tc>
      </w:tr>
      <w:tr w14:paraId="1EFD37A0">
        <w:tblPrEx>
          <w:tblCellMar>
            <w:top w:w="0" w:type="dxa"/>
            <w:left w:w="108" w:type="dxa"/>
            <w:bottom w:w="0" w:type="dxa"/>
            <w:right w:w="108" w:type="dxa"/>
          </w:tblCellMar>
        </w:tblPrEx>
        <w:trPr>
          <w:trHeight w:val="90" w:hRule="atLeast"/>
          <w:jc w:val="center"/>
        </w:trPr>
        <w:tc>
          <w:tcPr>
            <w:tcW w:w="493" w:type="dxa"/>
            <w:tcBorders>
              <w:top w:val="single" w:color="000000" w:sz="4" w:space="0"/>
              <w:left w:val="single" w:color="000000" w:sz="4" w:space="0"/>
              <w:bottom w:val="single" w:color="000000" w:sz="4" w:space="0"/>
              <w:right w:val="single" w:color="000000" w:sz="4" w:space="0"/>
            </w:tcBorders>
            <w:noWrap/>
            <w:vAlign w:val="center"/>
          </w:tcPr>
          <w:p w14:paraId="4A39DA29">
            <w:pPr>
              <w:spacing w:line="240" w:lineRule="exact"/>
              <w:jc w:val="center"/>
              <w:rPr>
                <w:rFonts w:ascii="宋体" w:hAnsi="宋体" w:cs="宋体"/>
                <w:sz w:val="18"/>
                <w:szCs w:val="18"/>
              </w:rPr>
            </w:pPr>
            <w:r>
              <w:rPr>
                <w:rFonts w:hint="eastAsia" w:ascii="宋体" w:hAnsi="宋体" w:cs="宋体"/>
                <w:sz w:val="18"/>
                <w:szCs w:val="18"/>
              </w:rPr>
              <w:t>1</w:t>
            </w:r>
          </w:p>
        </w:tc>
        <w:tc>
          <w:tcPr>
            <w:tcW w:w="1087" w:type="dxa"/>
            <w:tcBorders>
              <w:top w:val="single" w:color="000000" w:sz="4" w:space="0"/>
              <w:left w:val="single" w:color="000000" w:sz="4" w:space="0"/>
              <w:bottom w:val="single" w:color="000000" w:sz="4" w:space="0"/>
              <w:right w:val="single" w:color="000000" w:sz="4" w:space="0"/>
            </w:tcBorders>
            <w:vAlign w:val="center"/>
          </w:tcPr>
          <w:p w14:paraId="5C8DF268">
            <w:pPr>
              <w:spacing w:line="240" w:lineRule="exact"/>
              <w:rPr>
                <w:rFonts w:ascii="宋体" w:hAnsi="宋体" w:cs="宋体"/>
                <w:sz w:val="18"/>
                <w:szCs w:val="18"/>
              </w:rPr>
            </w:pPr>
            <w:r>
              <w:rPr>
                <w:rFonts w:hint="eastAsia" w:ascii="宋体" w:hAnsi="宋体" w:cs="宋体"/>
                <w:sz w:val="18"/>
                <w:szCs w:val="18"/>
              </w:rPr>
              <w:t>对违反《辽宁省合同监督条例》行为的处罚</w:t>
            </w:r>
          </w:p>
        </w:tc>
        <w:tc>
          <w:tcPr>
            <w:tcW w:w="1139" w:type="dxa"/>
            <w:tcBorders>
              <w:top w:val="single" w:color="000000" w:sz="4" w:space="0"/>
              <w:left w:val="single" w:color="000000" w:sz="4" w:space="0"/>
              <w:bottom w:val="single" w:color="000000" w:sz="4" w:space="0"/>
              <w:right w:val="single" w:color="000000" w:sz="4" w:space="0"/>
            </w:tcBorders>
            <w:vAlign w:val="center"/>
          </w:tcPr>
          <w:p w14:paraId="52931D16">
            <w:pPr>
              <w:spacing w:line="240" w:lineRule="exact"/>
              <w:rPr>
                <w:rFonts w:ascii="宋体" w:hAnsi="宋体" w:cs="宋体"/>
                <w:sz w:val="18"/>
                <w:szCs w:val="18"/>
              </w:rPr>
            </w:pPr>
            <w:r>
              <w:rPr>
                <w:rFonts w:hint="eastAsia" w:ascii="宋体" w:hAnsi="宋体" w:cs="宋体"/>
                <w:sz w:val="18"/>
                <w:szCs w:val="18"/>
              </w:rPr>
              <w:t>6</w:t>
            </w:r>
            <w:r>
              <w:rPr>
                <w:rFonts w:hint="eastAsia" w:ascii="宋体" w:hAnsi="宋体" w:cs="宋体"/>
                <w:spacing w:val="-6"/>
                <w:sz w:val="18"/>
                <w:szCs w:val="18"/>
              </w:rPr>
              <w:t>.对法人或者其他组织为他人违法行为提供证明、执照、印章、账户、凭证以及其他便利条件行为的处罚</w:t>
            </w:r>
          </w:p>
        </w:tc>
        <w:tc>
          <w:tcPr>
            <w:tcW w:w="810" w:type="dxa"/>
            <w:tcBorders>
              <w:top w:val="single" w:color="000000" w:sz="4" w:space="0"/>
              <w:left w:val="single" w:color="000000" w:sz="4" w:space="0"/>
              <w:bottom w:val="single" w:color="000000" w:sz="4" w:space="0"/>
              <w:right w:val="single" w:color="000000" w:sz="4" w:space="0"/>
            </w:tcBorders>
            <w:vAlign w:val="center"/>
          </w:tcPr>
          <w:p w14:paraId="15844FE1">
            <w:pPr>
              <w:spacing w:line="240" w:lineRule="exact"/>
              <w:jc w:val="center"/>
              <w:rPr>
                <w:rFonts w:ascii="宋体" w:hAnsi="宋体" w:cs="宋体"/>
                <w:sz w:val="18"/>
                <w:szCs w:val="18"/>
              </w:rPr>
            </w:pPr>
            <w:r>
              <w:rPr>
                <w:rFonts w:hint="eastAsia" w:ascii="宋体" w:hAnsi="宋体" w:cs="宋体"/>
                <w:sz w:val="18"/>
                <w:szCs w:val="18"/>
              </w:rPr>
              <w:t>行政处罚</w:t>
            </w:r>
          </w:p>
        </w:tc>
        <w:tc>
          <w:tcPr>
            <w:tcW w:w="3140" w:type="dxa"/>
            <w:tcBorders>
              <w:top w:val="single" w:color="000000" w:sz="4" w:space="0"/>
              <w:left w:val="single" w:color="000000" w:sz="4" w:space="0"/>
              <w:bottom w:val="single" w:color="000000" w:sz="4" w:space="0"/>
              <w:right w:val="single" w:color="000000" w:sz="4" w:space="0"/>
            </w:tcBorders>
            <w:vAlign w:val="center"/>
          </w:tcPr>
          <w:p w14:paraId="4A30B0DD">
            <w:pPr>
              <w:spacing w:line="240" w:lineRule="exact"/>
              <w:rPr>
                <w:rFonts w:hint="eastAsia" w:ascii="宋体" w:hAnsi="宋体" w:eastAsia="宋体" w:cs="宋体"/>
                <w:sz w:val="18"/>
                <w:szCs w:val="18"/>
                <w:lang w:eastAsia="zh-CN"/>
              </w:rPr>
            </w:pPr>
            <w:r>
              <w:rPr>
                <w:rFonts w:hint="eastAsia" w:ascii="宋体" w:hAnsi="宋体" w:cs="宋体"/>
                <w:sz w:val="18"/>
                <w:szCs w:val="18"/>
              </w:rPr>
              <w:t>【地方性法规】《辽宁省合同监督条例》（2010年7月30日公布）</w:t>
            </w:r>
          </w:p>
          <w:p w14:paraId="11404346">
            <w:pPr>
              <w:spacing w:line="240" w:lineRule="exact"/>
              <w:rPr>
                <w:rFonts w:hint="eastAsia" w:ascii="宋体" w:hAnsi="宋体" w:eastAsia="宋体" w:cs="宋体"/>
                <w:sz w:val="18"/>
                <w:szCs w:val="18"/>
                <w:lang w:eastAsia="zh-CN"/>
              </w:rPr>
            </w:pPr>
            <w:r>
              <w:rPr>
                <w:rFonts w:hint="eastAsia" w:ascii="宋体" w:hAnsi="宋体" w:cs="宋体"/>
                <w:sz w:val="18"/>
                <w:szCs w:val="18"/>
              </w:rPr>
              <w:t>第八条 法人或者其他组织不得为他人实施本条例第七条规定的违法行为提供证明、执照、印章、账户、凭证以及其他便利条件。</w:t>
            </w:r>
          </w:p>
          <w:p w14:paraId="6E10264A">
            <w:pPr>
              <w:spacing w:line="240" w:lineRule="exact"/>
              <w:rPr>
                <w:rFonts w:ascii="宋体" w:hAnsi="宋体" w:cs="宋体"/>
                <w:sz w:val="18"/>
                <w:szCs w:val="18"/>
              </w:rPr>
            </w:pPr>
            <w:r>
              <w:rPr>
                <w:rFonts w:hint="eastAsia" w:ascii="宋体" w:hAnsi="宋体" w:cs="宋体"/>
                <w:sz w:val="18"/>
                <w:szCs w:val="18"/>
              </w:rPr>
              <w:t>第十六条 违反本条例第八条规定的，没收违法所得，处以3万元以下罚款。</w:t>
            </w:r>
          </w:p>
        </w:tc>
        <w:tc>
          <w:tcPr>
            <w:tcW w:w="943" w:type="dxa"/>
            <w:tcBorders>
              <w:top w:val="single" w:color="000000" w:sz="4" w:space="0"/>
              <w:left w:val="single" w:color="000000" w:sz="4" w:space="0"/>
              <w:bottom w:val="single" w:color="000000" w:sz="4" w:space="0"/>
              <w:right w:val="single" w:color="000000" w:sz="4" w:space="0"/>
            </w:tcBorders>
            <w:vAlign w:val="center"/>
          </w:tcPr>
          <w:p w14:paraId="704A8D6E">
            <w:pPr>
              <w:spacing w:line="240" w:lineRule="exact"/>
              <w:jc w:val="center"/>
              <w:rPr>
                <w:rFonts w:ascii="宋体" w:hAnsi="宋体" w:cs="宋体"/>
                <w:sz w:val="18"/>
                <w:szCs w:val="18"/>
              </w:rPr>
            </w:pPr>
            <w:r>
              <w:rPr>
                <w:rFonts w:hint="eastAsia" w:ascii="宋体" w:hAnsi="宋体" w:cs="宋体"/>
                <w:sz w:val="18"/>
                <w:szCs w:val="18"/>
              </w:rPr>
              <w:t>县级市场监管部门</w:t>
            </w:r>
          </w:p>
        </w:tc>
        <w:tc>
          <w:tcPr>
            <w:tcW w:w="977" w:type="dxa"/>
            <w:tcBorders>
              <w:top w:val="single" w:color="000000" w:sz="4" w:space="0"/>
              <w:left w:val="single" w:color="000000" w:sz="4" w:space="0"/>
              <w:bottom w:val="single" w:color="000000" w:sz="4" w:space="0"/>
              <w:right w:val="single" w:color="000000" w:sz="4" w:space="0"/>
            </w:tcBorders>
            <w:vAlign w:val="center"/>
          </w:tcPr>
          <w:p w14:paraId="3B561BC2">
            <w:pPr>
              <w:spacing w:line="240" w:lineRule="exact"/>
              <w:rPr>
                <w:rFonts w:ascii="宋体" w:hAnsi="宋体" w:cs="宋体"/>
                <w:sz w:val="18"/>
                <w:szCs w:val="18"/>
              </w:rPr>
            </w:pPr>
            <w:r>
              <w:rPr>
                <w:rFonts w:hint="eastAsia" w:ascii="宋体" w:hAnsi="宋体" w:cs="宋体"/>
                <w:sz w:val="18"/>
                <w:szCs w:val="18"/>
              </w:rPr>
              <w:t>取消。取消后相关处罚内容按照《合同违法行为监督处理办法》相关条款实施。</w:t>
            </w:r>
          </w:p>
        </w:tc>
        <w:tc>
          <w:tcPr>
            <w:tcW w:w="981" w:type="dxa"/>
            <w:tcBorders>
              <w:top w:val="single" w:color="000000" w:sz="4" w:space="0"/>
              <w:left w:val="single" w:color="000000" w:sz="4" w:space="0"/>
              <w:bottom w:val="single" w:color="000000" w:sz="4" w:space="0"/>
              <w:right w:val="single" w:color="000000" w:sz="4" w:space="0"/>
            </w:tcBorders>
            <w:vAlign w:val="center"/>
          </w:tcPr>
          <w:p w14:paraId="69DB630D">
            <w:pPr>
              <w:spacing w:line="240" w:lineRule="exact"/>
              <w:ind w:firstLine="360" w:firstLineChars="200"/>
              <w:rPr>
                <w:rFonts w:ascii="宋体" w:hAnsi="宋体" w:cs="宋体"/>
                <w:sz w:val="18"/>
                <w:szCs w:val="18"/>
              </w:rPr>
            </w:pPr>
          </w:p>
        </w:tc>
        <w:tc>
          <w:tcPr>
            <w:tcW w:w="636" w:type="dxa"/>
            <w:tcBorders>
              <w:top w:val="single" w:color="000000" w:sz="4" w:space="0"/>
              <w:left w:val="single" w:color="000000" w:sz="4" w:space="0"/>
              <w:bottom w:val="single" w:color="000000" w:sz="4" w:space="0"/>
              <w:right w:val="single" w:color="000000" w:sz="4" w:space="0"/>
            </w:tcBorders>
            <w:vAlign w:val="center"/>
          </w:tcPr>
          <w:p w14:paraId="04A87650">
            <w:pPr>
              <w:spacing w:line="240" w:lineRule="exact"/>
              <w:ind w:firstLine="360" w:firstLineChars="200"/>
              <w:rPr>
                <w:rFonts w:ascii="宋体" w:hAnsi="宋体" w:cs="宋体"/>
                <w:sz w:val="18"/>
                <w:szCs w:val="18"/>
              </w:rPr>
            </w:pPr>
          </w:p>
        </w:tc>
      </w:tr>
      <w:tr w14:paraId="3AB2BE09">
        <w:tblPrEx>
          <w:tblCellMar>
            <w:top w:w="0" w:type="dxa"/>
            <w:left w:w="108" w:type="dxa"/>
            <w:bottom w:w="0" w:type="dxa"/>
            <w:right w:w="108" w:type="dxa"/>
          </w:tblCellMar>
        </w:tblPrEx>
        <w:trPr>
          <w:trHeight w:val="1920" w:hRule="atLeast"/>
          <w:jc w:val="center"/>
        </w:trPr>
        <w:tc>
          <w:tcPr>
            <w:tcW w:w="493" w:type="dxa"/>
            <w:tcBorders>
              <w:top w:val="single" w:color="000000" w:sz="4" w:space="0"/>
              <w:left w:val="single" w:color="000000" w:sz="4" w:space="0"/>
              <w:bottom w:val="single" w:color="000000" w:sz="4" w:space="0"/>
              <w:right w:val="single" w:color="000000" w:sz="4" w:space="0"/>
            </w:tcBorders>
            <w:noWrap/>
            <w:vAlign w:val="center"/>
          </w:tcPr>
          <w:p w14:paraId="3E7D656C">
            <w:pPr>
              <w:spacing w:line="240" w:lineRule="exact"/>
              <w:jc w:val="center"/>
              <w:rPr>
                <w:rFonts w:ascii="宋体" w:hAnsi="宋体" w:cs="宋体"/>
                <w:sz w:val="18"/>
                <w:szCs w:val="18"/>
              </w:rPr>
            </w:pPr>
            <w:r>
              <w:rPr>
                <w:rFonts w:hint="eastAsia" w:ascii="宋体" w:hAnsi="宋体" w:cs="宋体"/>
                <w:sz w:val="18"/>
                <w:szCs w:val="18"/>
              </w:rPr>
              <w:t>2</w:t>
            </w:r>
          </w:p>
        </w:tc>
        <w:tc>
          <w:tcPr>
            <w:tcW w:w="1087" w:type="dxa"/>
            <w:tcBorders>
              <w:top w:val="single" w:color="000000" w:sz="4" w:space="0"/>
              <w:left w:val="single" w:color="000000" w:sz="4" w:space="0"/>
              <w:bottom w:val="single" w:color="000000" w:sz="4" w:space="0"/>
              <w:right w:val="single" w:color="000000" w:sz="4" w:space="0"/>
            </w:tcBorders>
            <w:vAlign w:val="center"/>
          </w:tcPr>
          <w:p w14:paraId="6865E002">
            <w:pPr>
              <w:spacing w:line="240" w:lineRule="exact"/>
              <w:rPr>
                <w:rFonts w:ascii="宋体" w:hAnsi="宋体" w:cs="宋体"/>
                <w:sz w:val="18"/>
                <w:szCs w:val="18"/>
              </w:rPr>
            </w:pPr>
            <w:r>
              <w:rPr>
                <w:rFonts w:hint="eastAsia" w:ascii="宋体" w:hAnsi="宋体" w:cs="宋体"/>
                <w:sz w:val="18"/>
                <w:szCs w:val="18"/>
              </w:rPr>
              <w:t>对违反《辽宁省商品质量监督条例》行为的处罚</w:t>
            </w:r>
          </w:p>
        </w:tc>
        <w:tc>
          <w:tcPr>
            <w:tcW w:w="1139" w:type="dxa"/>
            <w:tcBorders>
              <w:top w:val="single" w:color="000000" w:sz="4" w:space="0"/>
              <w:left w:val="single" w:color="000000" w:sz="4" w:space="0"/>
              <w:bottom w:val="single" w:color="000000" w:sz="4" w:space="0"/>
              <w:right w:val="single" w:color="000000" w:sz="4" w:space="0"/>
            </w:tcBorders>
            <w:vAlign w:val="center"/>
          </w:tcPr>
          <w:p w14:paraId="259F256E">
            <w:pPr>
              <w:spacing w:line="240" w:lineRule="exact"/>
              <w:rPr>
                <w:rFonts w:ascii="宋体" w:hAnsi="宋体" w:cs="宋体"/>
                <w:sz w:val="18"/>
                <w:szCs w:val="18"/>
              </w:rPr>
            </w:pPr>
            <w:r>
              <w:rPr>
                <w:rFonts w:hint="eastAsia" w:ascii="宋体" w:hAnsi="宋体" w:cs="宋体"/>
                <w:sz w:val="18"/>
                <w:szCs w:val="18"/>
              </w:rPr>
              <w:t>1.对生产商品标明的生产日期、安全使用期或失效日期不真实行为的处罚</w:t>
            </w:r>
          </w:p>
        </w:tc>
        <w:tc>
          <w:tcPr>
            <w:tcW w:w="810" w:type="dxa"/>
            <w:tcBorders>
              <w:top w:val="single" w:color="000000" w:sz="4" w:space="0"/>
              <w:left w:val="single" w:color="000000" w:sz="4" w:space="0"/>
              <w:bottom w:val="single" w:color="000000" w:sz="4" w:space="0"/>
              <w:right w:val="single" w:color="000000" w:sz="4" w:space="0"/>
            </w:tcBorders>
            <w:vAlign w:val="center"/>
          </w:tcPr>
          <w:p w14:paraId="10E5526A">
            <w:pPr>
              <w:spacing w:line="240" w:lineRule="exact"/>
              <w:jc w:val="center"/>
              <w:rPr>
                <w:rFonts w:ascii="宋体" w:hAnsi="宋体" w:cs="宋体"/>
                <w:sz w:val="18"/>
                <w:szCs w:val="18"/>
              </w:rPr>
            </w:pPr>
            <w:r>
              <w:rPr>
                <w:rFonts w:hint="eastAsia" w:ascii="宋体" w:hAnsi="宋体" w:cs="宋体"/>
                <w:sz w:val="18"/>
                <w:szCs w:val="18"/>
              </w:rPr>
              <w:t>行政处罚</w:t>
            </w:r>
          </w:p>
        </w:tc>
        <w:tc>
          <w:tcPr>
            <w:tcW w:w="3140" w:type="dxa"/>
            <w:tcBorders>
              <w:top w:val="single" w:color="000000" w:sz="4" w:space="0"/>
              <w:left w:val="single" w:color="000000" w:sz="4" w:space="0"/>
              <w:bottom w:val="single" w:color="000000" w:sz="4" w:space="0"/>
              <w:right w:val="single" w:color="000000" w:sz="4" w:space="0"/>
            </w:tcBorders>
            <w:vAlign w:val="center"/>
          </w:tcPr>
          <w:p w14:paraId="12139659">
            <w:pPr>
              <w:spacing w:line="240" w:lineRule="exact"/>
              <w:rPr>
                <w:rFonts w:hint="eastAsia" w:ascii="宋体" w:hAnsi="宋体" w:eastAsia="宋体" w:cs="宋体"/>
                <w:sz w:val="18"/>
                <w:szCs w:val="18"/>
                <w:lang w:eastAsia="zh-CN"/>
              </w:rPr>
            </w:pPr>
            <w:r>
              <w:rPr>
                <w:rFonts w:hint="eastAsia" w:ascii="宋体" w:hAnsi="宋体" w:cs="宋体"/>
                <w:sz w:val="18"/>
                <w:szCs w:val="18"/>
              </w:rPr>
              <w:t>【地方性法规】《辽宁省商品质量监督条例》(2010年7月30日修正）</w:t>
            </w:r>
          </w:p>
          <w:p w14:paraId="362CFB72">
            <w:pPr>
              <w:spacing w:line="240" w:lineRule="exact"/>
              <w:rPr>
                <w:rFonts w:hint="eastAsia" w:ascii="宋体" w:hAnsi="宋体" w:eastAsia="宋体" w:cs="宋体"/>
                <w:sz w:val="18"/>
                <w:szCs w:val="18"/>
                <w:lang w:eastAsia="zh-CN"/>
              </w:rPr>
            </w:pPr>
            <w:r>
              <w:rPr>
                <w:rFonts w:hint="eastAsia" w:ascii="宋体" w:hAnsi="宋体" w:cs="宋体"/>
                <w:sz w:val="18"/>
                <w:szCs w:val="18"/>
              </w:rPr>
              <w:t>第四条 省、市、县（含县级市、区，下同）技术监督部门是同级人民政府商品质量监督工作的行政主管部门，统一管理和组织协调本行政区域内商品质量监督工作。</w:t>
            </w:r>
          </w:p>
          <w:p w14:paraId="592148B2">
            <w:pPr>
              <w:spacing w:line="240" w:lineRule="exact"/>
              <w:rPr>
                <w:rFonts w:hint="eastAsia" w:ascii="宋体" w:hAnsi="宋体" w:eastAsia="宋体" w:cs="宋体"/>
                <w:sz w:val="18"/>
                <w:szCs w:val="18"/>
                <w:lang w:eastAsia="zh-CN"/>
              </w:rPr>
            </w:pPr>
            <w:r>
              <w:rPr>
                <w:rFonts w:hint="eastAsia" w:ascii="宋体" w:hAnsi="宋体" w:cs="宋体"/>
                <w:sz w:val="18"/>
                <w:szCs w:val="18"/>
              </w:rPr>
              <w:t>第十一条 禁止生产、经销下列商品：</w:t>
            </w:r>
          </w:p>
          <w:p w14:paraId="492EAC49">
            <w:pPr>
              <w:spacing w:line="240" w:lineRule="exact"/>
              <w:rPr>
                <w:rFonts w:hint="eastAsia" w:ascii="宋体" w:hAnsi="宋体" w:eastAsia="宋体" w:cs="宋体"/>
                <w:spacing w:val="-6"/>
                <w:sz w:val="18"/>
                <w:szCs w:val="18"/>
                <w:lang w:eastAsia="zh-CN"/>
              </w:rPr>
            </w:pPr>
            <w:r>
              <w:rPr>
                <w:rFonts w:hint="eastAsia" w:ascii="宋体" w:hAnsi="宋体" w:cs="宋体"/>
                <w:spacing w:val="-6"/>
                <w:sz w:val="18"/>
                <w:szCs w:val="18"/>
              </w:rPr>
              <w:t>（六）标明的生产日期、安全使用期或失效日期不真实的；</w:t>
            </w:r>
          </w:p>
          <w:p w14:paraId="6D808A8A">
            <w:pPr>
              <w:spacing w:line="240" w:lineRule="exact"/>
              <w:rPr>
                <w:rFonts w:ascii="宋体" w:hAnsi="宋体" w:cs="宋体"/>
                <w:sz w:val="18"/>
                <w:szCs w:val="18"/>
              </w:rPr>
            </w:pPr>
            <w:r>
              <w:rPr>
                <w:rFonts w:hint="eastAsia" w:ascii="宋体" w:hAnsi="宋体" w:cs="宋体"/>
                <w:sz w:val="18"/>
                <w:szCs w:val="18"/>
              </w:rPr>
              <w:t>第三十二条 对违反本条例第十一条第一款第（六）项规定的，责令改正；情节严重的，责令停止生产、销售，并处违法生产、销售产品货值金额30%以下的罚款；有违法所得的，并处没收违法所得。</w:t>
            </w:r>
          </w:p>
        </w:tc>
        <w:tc>
          <w:tcPr>
            <w:tcW w:w="943" w:type="dxa"/>
            <w:tcBorders>
              <w:top w:val="single" w:color="000000" w:sz="4" w:space="0"/>
              <w:left w:val="single" w:color="000000" w:sz="4" w:space="0"/>
              <w:bottom w:val="single" w:color="000000" w:sz="4" w:space="0"/>
              <w:right w:val="single" w:color="000000" w:sz="4" w:space="0"/>
            </w:tcBorders>
            <w:vAlign w:val="center"/>
          </w:tcPr>
          <w:p w14:paraId="2FED8CB1">
            <w:pPr>
              <w:spacing w:line="240" w:lineRule="exact"/>
              <w:jc w:val="center"/>
              <w:rPr>
                <w:rFonts w:ascii="宋体" w:hAnsi="宋体" w:cs="宋体"/>
                <w:sz w:val="18"/>
                <w:szCs w:val="18"/>
              </w:rPr>
            </w:pPr>
            <w:r>
              <w:rPr>
                <w:rFonts w:hint="eastAsia" w:ascii="宋体" w:hAnsi="宋体" w:cs="宋体"/>
                <w:sz w:val="18"/>
                <w:szCs w:val="18"/>
              </w:rPr>
              <w:t>县级市场监管部门</w:t>
            </w:r>
          </w:p>
        </w:tc>
        <w:tc>
          <w:tcPr>
            <w:tcW w:w="977" w:type="dxa"/>
            <w:tcBorders>
              <w:top w:val="single" w:color="000000" w:sz="4" w:space="0"/>
              <w:left w:val="single" w:color="000000" w:sz="4" w:space="0"/>
              <w:bottom w:val="single" w:color="000000" w:sz="4" w:space="0"/>
              <w:right w:val="single" w:color="000000" w:sz="4" w:space="0"/>
            </w:tcBorders>
            <w:vAlign w:val="center"/>
          </w:tcPr>
          <w:p w14:paraId="1777A5E8">
            <w:pPr>
              <w:spacing w:line="240" w:lineRule="exact"/>
              <w:rPr>
                <w:rFonts w:ascii="宋体" w:hAnsi="宋体" w:cs="宋体"/>
                <w:sz w:val="18"/>
                <w:szCs w:val="18"/>
              </w:rPr>
            </w:pPr>
            <w:r>
              <w:rPr>
                <w:rFonts w:hint="eastAsia" w:ascii="宋体" w:hAnsi="宋体" w:cs="宋体"/>
                <w:sz w:val="18"/>
                <w:szCs w:val="18"/>
              </w:rPr>
              <w:t>取消。取消后相关处罚内容按照《中华人民共和国产品质量法》相关条款实施。</w:t>
            </w:r>
          </w:p>
        </w:tc>
        <w:tc>
          <w:tcPr>
            <w:tcW w:w="981" w:type="dxa"/>
            <w:tcBorders>
              <w:top w:val="single" w:color="000000" w:sz="4" w:space="0"/>
              <w:left w:val="single" w:color="000000" w:sz="4" w:space="0"/>
              <w:bottom w:val="single" w:color="000000" w:sz="4" w:space="0"/>
              <w:right w:val="single" w:color="000000" w:sz="4" w:space="0"/>
            </w:tcBorders>
            <w:vAlign w:val="center"/>
          </w:tcPr>
          <w:p w14:paraId="654C6F6B">
            <w:pPr>
              <w:spacing w:line="240" w:lineRule="exact"/>
              <w:ind w:firstLine="360" w:firstLineChars="200"/>
              <w:rPr>
                <w:rFonts w:ascii="宋体" w:hAnsi="宋体" w:cs="宋体"/>
                <w:sz w:val="18"/>
                <w:szCs w:val="18"/>
              </w:rPr>
            </w:pPr>
          </w:p>
        </w:tc>
        <w:tc>
          <w:tcPr>
            <w:tcW w:w="636" w:type="dxa"/>
            <w:tcBorders>
              <w:top w:val="single" w:color="000000" w:sz="4" w:space="0"/>
              <w:left w:val="single" w:color="000000" w:sz="4" w:space="0"/>
              <w:bottom w:val="single" w:color="000000" w:sz="4" w:space="0"/>
              <w:right w:val="single" w:color="000000" w:sz="4" w:space="0"/>
            </w:tcBorders>
            <w:vAlign w:val="center"/>
          </w:tcPr>
          <w:p w14:paraId="6EC1F57C">
            <w:pPr>
              <w:spacing w:line="240" w:lineRule="exact"/>
              <w:ind w:firstLine="360" w:firstLineChars="200"/>
              <w:rPr>
                <w:rFonts w:ascii="宋体" w:hAnsi="宋体" w:cs="宋体"/>
                <w:sz w:val="18"/>
                <w:szCs w:val="18"/>
              </w:rPr>
            </w:pPr>
          </w:p>
        </w:tc>
      </w:tr>
      <w:tr w14:paraId="2299B595">
        <w:tblPrEx>
          <w:tblCellMar>
            <w:top w:w="0" w:type="dxa"/>
            <w:left w:w="108" w:type="dxa"/>
            <w:bottom w:w="0" w:type="dxa"/>
            <w:right w:w="108" w:type="dxa"/>
          </w:tblCellMar>
        </w:tblPrEx>
        <w:trPr>
          <w:trHeight w:val="4235" w:hRule="atLeast"/>
          <w:jc w:val="center"/>
        </w:trPr>
        <w:tc>
          <w:tcPr>
            <w:tcW w:w="493" w:type="dxa"/>
            <w:tcBorders>
              <w:top w:val="single" w:color="000000" w:sz="4" w:space="0"/>
              <w:left w:val="single" w:color="000000" w:sz="4" w:space="0"/>
              <w:bottom w:val="single" w:color="000000" w:sz="4" w:space="0"/>
              <w:right w:val="single" w:color="000000" w:sz="4" w:space="0"/>
            </w:tcBorders>
            <w:noWrap/>
            <w:vAlign w:val="center"/>
          </w:tcPr>
          <w:p w14:paraId="7CBD5535">
            <w:pPr>
              <w:spacing w:line="240" w:lineRule="exact"/>
              <w:jc w:val="center"/>
              <w:rPr>
                <w:rFonts w:ascii="宋体" w:hAnsi="宋体" w:cs="宋体"/>
                <w:sz w:val="18"/>
                <w:szCs w:val="18"/>
              </w:rPr>
            </w:pPr>
            <w:r>
              <w:rPr>
                <w:rFonts w:hint="eastAsia" w:ascii="宋体" w:hAnsi="宋体" w:cs="宋体"/>
                <w:sz w:val="18"/>
                <w:szCs w:val="18"/>
              </w:rPr>
              <w:t>2</w:t>
            </w:r>
          </w:p>
        </w:tc>
        <w:tc>
          <w:tcPr>
            <w:tcW w:w="1087" w:type="dxa"/>
            <w:tcBorders>
              <w:top w:val="single" w:color="000000" w:sz="4" w:space="0"/>
              <w:left w:val="single" w:color="000000" w:sz="4" w:space="0"/>
              <w:bottom w:val="single" w:color="000000" w:sz="4" w:space="0"/>
              <w:right w:val="single" w:color="000000" w:sz="4" w:space="0"/>
            </w:tcBorders>
            <w:vAlign w:val="center"/>
          </w:tcPr>
          <w:p w14:paraId="7E89FF94">
            <w:pPr>
              <w:spacing w:line="240" w:lineRule="exact"/>
              <w:rPr>
                <w:rFonts w:ascii="宋体" w:hAnsi="宋体" w:cs="宋体"/>
                <w:sz w:val="18"/>
                <w:szCs w:val="18"/>
              </w:rPr>
            </w:pPr>
            <w:r>
              <w:rPr>
                <w:rFonts w:hint="eastAsia" w:ascii="宋体" w:hAnsi="宋体" w:cs="宋体"/>
                <w:sz w:val="18"/>
                <w:szCs w:val="18"/>
              </w:rPr>
              <w:t>对违反《辽宁省商品质量监督条例》行为的处罚</w:t>
            </w:r>
          </w:p>
        </w:tc>
        <w:tc>
          <w:tcPr>
            <w:tcW w:w="1139" w:type="dxa"/>
            <w:tcBorders>
              <w:top w:val="single" w:color="000000" w:sz="4" w:space="0"/>
              <w:left w:val="single" w:color="000000" w:sz="4" w:space="0"/>
              <w:bottom w:val="single" w:color="000000" w:sz="4" w:space="0"/>
              <w:right w:val="single" w:color="000000" w:sz="4" w:space="0"/>
            </w:tcBorders>
            <w:vAlign w:val="center"/>
          </w:tcPr>
          <w:p w14:paraId="05DAC733">
            <w:pPr>
              <w:spacing w:line="240" w:lineRule="exact"/>
              <w:rPr>
                <w:rFonts w:ascii="宋体" w:hAnsi="宋体" w:cs="宋体"/>
                <w:sz w:val="18"/>
                <w:szCs w:val="18"/>
              </w:rPr>
            </w:pPr>
            <w:r>
              <w:rPr>
                <w:rFonts w:hint="eastAsia" w:ascii="宋体" w:hAnsi="宋体" w:cs="宋体"/>
                <w:sz w:val="18"/>
                <w:szCs w:val="18"/>
              </w:rPr>
              <w:t>2.对标明的生产日期、安全使用期或失效日期不真实的，标明的指标与实际不符的行为的处罚</w:t>
            </w:r>
          </w:p>
        </w:tc>
        <w:tc>
          <w:tcPr>
            <w:tcW w:w="810" w:type="dxa"/>
            <w:tcBorders>
              <w:top w:val="single" w:color="000000" w:sz="4" w:space="0"/>
              <w:left w:val="single" w:color="000000" w:sz="4" w:space="0"/>
              <w:bottom w:val="single" w:color="000000" w:sz="4" w:space="0"/>
              <w:right w:val="single" w:color="000000" w:sz="4" w:space="0"/>
            </w:tcBorders>
            <w:vAlign w:val="center"/>
          </w:tcPr>
          <w:p w14:paraId="17AB3074">
            <w:pPr>
              <w:spacing w:line="240" w:lineRule="exact"/>
              <w:jc w:val="center"/>
              <w:rPr>
                <w:rFonts w:ascii="宋体" w:hAnsi="宋体" w:cs="宋体"/>
                <w:sz w:val="18"/>
                <w:szCs w:val="18"/>
              </w:rPr>
            </w:pPr>
            <w:r>
              <w:rPr>
                <w:rFonts w:hint="eastAsia" w:ascii="宋体" w:hAnsi="宋体" w:cs="宋体"/>
                <w:sz w:val="18"/>
                <w:szCs w:val="18"/>
              </w:rPr>
              <w:t>行政处罚</w:t>
            </w:r>
          </w:p>
        </w:tc>
        <w:tc>
          <w:tcPr>
            <w:tcW w:w="3140" w:type="dxa"/>
            <w:tcBorders>
              <w:top w:val="single" w:color="000000" w:sz="4" w:space="0"/>
              <w:left w:val="single" w:color="000000" w:sz="4" w:space="0"/>
              <w:bottom w:val="single" w:color="000000" w:sz="4" w:space="0"/>
              <w:right w:val="single" w:color="000000" w:sz="4" w:space="0"/>
            </w:tcBorders>
            <w:vAlign w:val="center"/>
          </w:tcPr>
          <w:p w14:paraId="176C177D">
            <w:pPr>
              <w:spacing w:line="240" w:lineRule="exact"/>
              <w:rPr>
                <w:rFonts w:hint="eastAsia" w:ascii="宋体" w:hAnsi="宋体" w:eastAsia="宋体" w:cs="宋体"/>
                <w:sz w:val="18"/>
                <w:szCs w:val="18"/>
                <w:lang w:eastAsia="zh-CN"/>
              </w:rPr>
            </w:pPr>
            <w:r>
              <w:rPr>
                <w:rFonts w:hint="eastAsia" w:ascii="宋体" w:hAnsi="宋体" w:cs="宋体"/>
                <w:sz w:val="18"/>
                <w:szCs w:val="18"/>
              </w:rPr>
              <w:t>【地方性法规】《辽宁省商品质量监督条例》(2010年7月30日修正）</w:t>
            </w:r>
          </w:p>
          <w:p w14:paraId="715FB79E">
            <w:pPr>
              <w:spacing w:line="240" w:lineRule="exact"/>
              <w:rPr>
                <w:rFonts w:hint="eastAsia" w:ascii="宋体" w:hAnsi="宋体" w:eastAsia="宋体" w:cs="宋体"/>
                <w:sz w:val="18"/>
                <w:szCs w:val="18"/>
                <w:lang w:eastAsia="zh-CN"/>
              </w:rPr>
            </w:pPr>
            <w:r>
              <w:rPr>
                <w:rFonts w:hint="eastAsia" w:ascii="宋体" w:hAnsi="宋体" w:cs="宋体"/>
                <w:sz w:val="18"/>
                <w:szCs w:val="18"/>
              </w:rPr>
              <w:t>第七条 商品质量必须符合下列要求：</w:t>
            </w:r>
          </w:p>
          <w:p w14:paraId="5C981010">
            <w:pPr>
              <w:spacing w:line="240" w:lineRule="exact"/>
              <w:rPr>
                <w:rFonts w:hint="eastAsia" w:ascii="宋体" w:hAnsi="宋体" w:eastAsia="宋体" w:cs="宋体"/>
                <w:sz w:val="18"/>
                <w:szCs w:val="18"/>
                <w:lang w:eastAsia="zh-CN"/>
              </w:rPr>
            </w:pPr>
            <w:r>
              <w:rPr>
                <w:rFonts w:hint="eastAsia" w:ascii="宋体" w:hAnsi="宋体" w:cs="宋体"/>
                <w:sz w:val="18"/>
                <w:szCs w:val="18"/>
              </w:rPr>
              <w:t>（二）具备商品应具备的使用性能，但对商品存在使用性能瑕疵作出说明的除外；</w:t>
            </w:r>
          </w:p>
          <w:p w14:paraId="375D9400">
            <w:pPr>
              <w:spacing w:line="240" w:lineRule="exact"/>
              <w:rPr>
                <w:rFonts w:hint="eastAsia" w:ascii="宋体" w:hAnsi="宋体" w:eastAsia="宋体" w:cs="宋体"/>
                <w:sz w:val="18"/>
                <w:szCs w:val="18"/>
                <w:lang w:eastAsia="zh-CN"/>
              </w:rPr>
            </w:pPr>
            <w:r>
              <w:rPr>
                <w:rFonts w:hint="eastAsia" w:ascii="宋体" w:hAnsi="宋体" w:cs="宋体"/>
                <w:sz w:val="18"/>
                <w:szCs w:val="18"/>
              </w:rPr>
              <w:t>（三）符合在商品或其包装物上注明采用的产品标准，符合以产品说明、实物样品等方式表明的质量状况。</w:t>
            </w:r>
          </w:p>
          <w:p w14:paraId="65941B00">
            <w:pPr>
              <w:spacing w:line="240" w:lineRule="exact"/>
              <w:rPr>
                <w:rFonts w:hint="eastAsia" w:ascii="宋体" w:hAnsi="宋体" w:eastAsia="宋体" w:cs="宋体"/>
                <w:sz w:val="18"/>
                <w:szCs w:val="18"/>
                <w:lang w:eastAsia="zh-CN"/>
              </w:rPr>
            </w:pPr>
            <w:r>
              <w:rPr>
                <w:rFonts w:hint="eastAsia" w:ascii="宋体" w:hAnsi="宋体" w:cs="宋体"/>
                <w:sz w:val="18"/>
                <w:szCs w:val="18"/>
              </w:rPr>
              <w:t>第十一条第一款 禁止生产、经销下列商品：</w:t>
            </w:r>
          </w:p>
          <w:p w14:paraId="5DEFB27B">
            <w:pPr>
              <w:spacing w:line="240" w:lineRule="exact"/>
              <w:rPr>
                <w:rFonts w:hint="eastAsia" w:ascii="宋体" w:hAnsi="宋体" w:eastAsia="宋体" w:cs="宋体"/>
                <w:sz w:val="18"/>
                <w:szCs w:val="18"/>
                <w:lang w:eastAsia="zh-CN"/>
              </w:rPr>
            </w:pPr>
            <w:r>
              <w:rPr>
                <w:rFonts w:hint="eastAsia" w:ascii="宋体" w:hAnsi="宋体" w:cs="宋体"/>
                <w:sz w:val="18"/>
                <w:szCs w:val="18"/>
              </w:rPr>
              <w:t>（五）未经经验或应检项目检验不全以及检验不合格的；</w:t>
            </w:r>
          </w:p>
          <w:p w14:paraId="539B3671">
            <w:pPr>
              <w:spacing w:line="240" w:lineRule="exact"/>
              <w:rPr>
                <w:rFonts w:hint="eastAsia" w:ascii="宋体" w:hAnsi="宋体" w:eastAsia="宋体" w:cs="宋体"/>
                <w:spacing w:val="-6"/>
                <w:sz w:val="18"/>
                <w:szCs w:val="18"/>
                <w:lang w:eastAsia="zh-CN"/>
              </w:rPr>
            </w:pPr>
            <w:r>
              <w:rPr>
                <w:rFonts w:hint="eastAsia" w:ascii="宋体" w:hAnsi="宋体" w:cs="宋体"/>
                <w:spacing w:val="-6"/>
                <w:sz w:val="18"/>
                <w:szCs w:val="18"/>
              </w:rPr>
              <w:t>（六）标明的生产日期、安全使用期或失效日期不真实的；</w:t>
            </w:r>
          </w:p>
          <w:p w14:paraId="364CD76A">
            <w:pPr>
              <w:spacing w:line="240" w:lineRule="exact"/>
              <w:rPr>
                <w:rFonts w:hint="eastAsia" w:ascii="宋体" w:hAnsi="宋体" w:eastAsia="宋体" w:cs="宋体"/>
                <w:sz w:val="18"/>
                <w:szCs w:val="18"/>
                <w:lang w:eastAsia="zh-CN"/>
              </w:rPr>
            </w:pPr>
            <w:r>
              <w:rPr>
                <w:rFonts w:hint="eastAsia" w:ascii="宋体" w:hAnsi="宋体" w:cs="宋体"/>
                <w:sz w:val="18"/>
                <w:szCs w:val="18"/>
              </w:rPr>
              <w:t>（七）标明的指标与实际不符的；</w:t>
            </w:r>
          </w:p>
          <w:p w14:paraId="163975B8">
            <w:pPr>
              <w:spacing w:line="240" w:lineRule="exact"/>
              <w:rPr>
                <w:rFonts w:hint="eastAsia" w:ascii="宋体" w:hAnsi="宋体" w:eastAsia="宋体" w:cs="宋体"/>
                <w:sz w:val="18"/>
                <w:szCs w:val="18"/>
                <w:lang w:eastAsia="zh-CN"/>
              </w:rPr>
            </w:pPr>
            <w:r>
              <w:rPr>
                <w:rFonts w:hint="eastAsia" w:ascii="宋体" w:hAnsi="宋体" w:cs="宋体"/>
                <w:sz w:val="18"/>
                <w:szCs w:val="18"/>
              </w:rPr>
              <w:t>（八）结构、性有复杂的商品，未附有安装、维修、保养及使用的中文说明书的。</w:t>
            </w:r>
          </w:p>
          <w:p w14:paraId="41E6BC36">
            <w:pPr>
              <w:spacing w:line="240" w:lineRule="exact"/>
              <w:rPr>
                <w:rFonts w:ascii="宋体" w:hAnsi="宋体" w:cs="宋体"/>
                <w:sz w:val="18"/>
                <w:szCs w:val="18"/>
              </w:rPr>
            </w:pPr>
            <w:r>
              <w:rPr>
                <w:rFonts w:hint="eastAsia" w:ascii="宋体" w:hAnsi="宋体" w:cs="宋体"/>
                <w:sz w:val="18"/>
                <w:szCs w:val="18"/>
              </w:rPr>
              <w:t>第三十四条 对违反本条例第七条第(二)项、第(三)项和</w:t>
            </w:r>
            <w:r>
              <w:rPr>
                <w:rFonts w:hint="eastAsia" w:ascii="宋体" w:hAnsi="宋体" w:cs="宋体"/>
                <w:spacing w:val="-11"/>
                <w:sz w:val="18"/>
                <w:szCs w:val="18"/>
              </w:rPr>
              <w:t>第十一条第一款第(五)项、第(六)项、第(七)项、第(八)项规定的，没收违法所得，并处违法所得15%至20%的罚款；对有关负责人和直接责任者处以1000元以上1万元以下的罚款。</w:t>
            </w:r>
          </w:p>
        </w:tc>
        <w:tc>
          <w:tcPr>
            <w:tcW w:w="943" w:type="dxa"/>
            <w:tcBorders>
              <w:top w:val="single" w:color="000000" w:sz="4" w:space="0"/>
              <w:left w:val="single" w:color="000000" w:sz="4" w:space="0"/>
              <w:bottom w:val="single" w:color="000000" w:sz="4" w:space="0"/>
              <w:right w:val="single" w:color="000000" w:sz="4" w:space="0"/>
            </w:tcBorders>
            <w:vAlign w:val="center"/>
          </w:tcPr>
          <w:p w14:paraId="20B0A232">
            <w:pPr>
              <w:spacing w:line="240" w:lineRule="exact"/>
              <w:jc w:val="center"/>
              <w:rPr>
                <w:rFonts w:ascii="宋体" w:hAnsi="宋体" w:cs="宋体"/>
                <w:sz w:val="18"/>
                <w:szCs w:val="18"/>
              </w:rPr>
            </w:pPr>
            <w:r>
              <w:rPr>
                <w:rFonts w:hint="eastAsia" w:ascii="宋体" w:hAnsi="宋体" w:cs="宋体"/>
                <w:sz w:val="18"/>
                <w:szCs w:val="18"/>
              </w:rPr>
              <w:t>县级市场监管部门</w:t>
            </w:r>
          </w:p>
        </w:tc>
        <w:tc>
          <w:tcPr>
            <w:tcW w:w="977" w:type="dxa"/>
            <w:tcBorders>
              <w:top w:val="single" w:color="000000" w:sz="4" w:space="0"/>
              <w:left w:val="single" w:color="000000" w:sz="4" w:space="0"/>
              <w:bottom w:val="single" w:color="000000" w:sz="4" w:space="0"/>
              <w:right w:val="single" w:color="000000" w:sz="4" w:space="0"/>
            </w:tcBorders>
            <w:vAlign w:val="center"/>
          </w:tcPr>
          <w:p w14:paraId="7C378F69">
            <w:pPr>
              <w:spacing w:line="240" w:lineRule="exact"/>
              <w:rPr>
                <w:rFonts w:ascii="宋体" w:hAnsi="宋体" w:cs="宋体"/>
                <w:sz w:val="18"/>
                <w:szCs w:val="18"/>
              </w:rPr>
            </w:pPr>
            <w:r>
              <w:rPr>
                <w:rFonts w:hint="eastAsia" w:ascii="宋体" w:hAnsi="宋体" w:cs="宋体"/>
                <w:sz w:val="18"/>
                <w:szCs w:val="18"/>
              </w:rPr>
              <w:t>取消。取消后相关处罚内容按照《中华人民共和国产品质量法》相关条款实施。</w:t>
            </w:r>
          </w:p>
        </w:tc>
        <w:tc>
          <w:tcPr>
            <w:tcW w:w="981" w:type="dxa"/>
            <w:tcBorders>
              <w:top w:val="single" w:color="000000" w:sz="4" w:space="0"/>
              <w:left w:val="single" w:color="000000" w:sz="4" w:space="0"/>
              <w:bottom w:val="single" w:color="000000" w:sz="4" w:space="0"/>
              <w:right w:val="single" w:color="000000" w:sz="4" w:space="0"/>
            </w:tcBorders>
            <w:vAlign w:val="center"/>
          </w:tcPr>
          <w:p w14:paraId="56CEBB0C">
            <w:pPr>
              <w:spacing w:line="240" w:lineRule="exact"/>
              <w:ind w:firstLine="360" w:firstLineChars="200"/>
              <w:rPr>
                <w:rFonts w:ascii="宋体" w:hAnsi="宋体" w:cs="宋体"/>
                <w:sz w:val="18"/>
                <w:szCs w:val="18"/>
              </w:rPr>
            </w:pPr>
          </w:p>
        </w:tc>
        <w:tc>
          <w:tcPr>
            <w:tcW w:w="636" w:type="dxa"/>
            <w:tcBorders>
              <w:top w:val="single" w:color="000000" w:sz="4" w:space="0"/>
              <w:left w:val="single" w:color="000000" w:sz="4" w:space="0"/>
              <w:bottom w:val="single" w:color="000000" w:sz="4" w:space="0"/>
              <w:right w:val="single" w:color="000000" w:sz="4" w:space="0"/>
            </w:tcBorders>
            <w:vAlign w:val="center"/>
          </w:tcPr>
          <w:p w14:paraId="01A833F4">
            <w:pPr>
              <w:spacing w:line="240" w:lineRule="exact"/>
              <w:ind w:firstLine="360" w:firstLineChars="200"/>
              <w:rPr>
                <w:rFonts w:ascii="宋体" w:hAnsi="宋体" w:cs="宋体"/>
                <w:sz w:val="18"/>
                <w:szCs w:val="18"/>
              </w:rPr>
            </w:pPr>
          </w:p>
        </w:tc>
      </w:tr>
      <w:tr w14:paraId="780CFD6F">
        <w:tblPrEx>
          <w:tblCellMar>
            <w:top w:w="0" w:type="dxa"/>
            <w:left w:w="108" w:type="dxa"/>
            <w:bottom w:w="0" w:type="dxa"/>
            <w:right w:w="108" w:type="dxa"/>
          </w:tblCellMar>
        </w:tblPrEx>
        <w:trPr>
          <w:trHeight w:val="4310" w:hRule="atLeast"/>
          <w:jc w:val="center"/>
        </w:trPr>
        <w:tc>
          <w:tcPr>
            <w:tcW w:w="493" w:type="dxa"/>
            <w:tcBorders>
              <w:top w:val="single" w:color="000000" w:sz="4" w:space="0"/>
              <w:left w:val="single" w:color="000000" w:sz="4" w:space="0"/>
              <w:bottom w:val="single" w:color="000000" w:sz="4" w:space="0"/>
              <w:right w:val="single" w:color="000000" w:sz="4" w:space="0"/>
            </w:tcBorders>
            <w:noWrap/>
            <w:vAlign w:val="center"/>
          </w:tcPr>
          <w:p w14:paraId="7FA97D66">
            <w:pPr>
              <w:spacing w:line="240" w:lineRule="exact"/>
              <w:jc w:val="center"/>
              <w:rPr>
                <w:rFonts w:ascii="宋体" w:hAnsi="宋体" w:cs="宋体"/>
                <w:sz w:val="18"/>
                <w:szCs w:val="18"/>
              </w:rPr>
            </w:pPr>
            <w:r>
              <w:rPr>
                <w:rFonts w:hint="eastAsia" w:ascii="宋体" w:hAnsi="宋体" w:cs="宋体"/>
                <w:sz w:val="18"/>
                <w:szCs w:val="18"/>
              </w:rPr>
              <w:t>2</w:t>
            </w:r>
          </w:p>
        </w:tc>
        <w:tc>
          <w:tcPr>
            <w:tcW w:w="1087" w:type="dxa"/>
            <w:tcBorders>
              <w:top w:val="single" w:color="000000" w:sz="4" w:space="0"/>
              <w:left w:val="single" w:color="000000" w:sz="4" w:space="0"/>
              <w:bottom w:val="single" w:color="000000" w:sz="4" w:space="0"/>
              <w:right w:val="single" w:color="000000" w:sz="4" w:space="0"/>
            </w:tcBorders>
            <w:vAlign w:val="center"/>
          </w:tcPr>
          <w:p w14:paraId="4BE71C92">
            <w:pPr>
              <w:spacing w:line="240" w:lineRule="exact"/>
              <w:rPr>
                <w:rFonts w:ascii="宋体" w:hAnsi="宋体" w:cs="宋体"/>
                <w:sz w:val="18"/>
                <w:szCs w:val="18"/>
              </w:rPr>
            </w:pPr>
            <w:r>
              <w:rPr>
                <w:rFonts w:hint="eastAsia" w:ascii="宋体" w:hAnsi="宋体" w:cs="宋体"/>
                <w:sz w:val="18"/>
                <w:szCs w:val="18"/>
              </w:rPr>
              <w:t>对违反《辽宁省商品质量监督条例》行为的处罚</w:t>
            </w:r>
          </w:p>
        </w:tc>
        <w:tc>
          <w:tcPr>
            <w:tcW w:w="1139" w:type="dxa"/>
            <w:tcBorders>
              <w:top w:val="single" w:color="000000" w:sz="4" w:space="0"/>
              <w:left w:val="single" w:color="000000" w:sz="4" w:space="0"/>
              <w:bottom w:val="single" w:color="000000" w:sz="4" w:space="0"/>
              <w:right w:val="single" w:color="000000" w:sz="4" w:space="0"/>
            </w:tcBorders>
            <w:vAlign w:val="center"/>
          </w:tcPr>
          <w:p w14:paraId="495EA50F">
            <w:pPr>
              <w:spacing w:line="240" w:lineRule="exact"/>
              <w:rPr>
                <w:rFonts w:ascii="宋体" w:hAnsi="宋体" w:cs="宋体"/>
                <w:sz w:val="18"/>
                <w:szCs w:val="18"/>
              </w:rPr>
            </w:pPr>
            <w:r>
              <w:rPr>
                <w:rFonts w:hint="eastAsia" w:ascii="宋体" w:hAnsi="宋体" w:cs="宋体"/>
                <w:sz w:val="18"/>
                <w:szCs w:val="18"/>
              </w:rPr>
              <w:t>3.对商品标识不符合要求或者应标明“处理品”(含副品、等外品) 字样而未标明行为的处罚</w:t>
            </w:r>
          </w:p>
        </w:tc>
        <w:tc>
          <w:tcPr>
            <w:tcW w:w="810" w:type="dxa"/>
            <w:tcBorders>
              <w:top w:val="single" w:color="000000" w:sz="4" w:space="0"/>
              <w:left w:val="single" w:color="000000" w:sz="4" w:space="0"/>
              <w:bottom w:val="single" w:color="000000" w:sz="4" w:space="0"/>
              <w:right w:val="single" w:color="000000" w:sz="4" w:space="0"/>
            </w:tcBorders>
            <w:vAlign w:val="center"/>
          </w:tcPr>
          <w:p w14:paraId="67C88489">
            <w:pPr>
              <w:spacing w:line="240" w:lineRule="exact"/>
              <w:jc w:val="center"/>
              <w:rPr>
                <w:rFonts w:ascii="宋体" w:hAnsi="宋体" w:cs="宋体"/>
                <w:sz w:val="18"/>
                <w:szCs w:val="18"/>
              </w:rPr>
            </w:pPr>
            <w:r>
              <w:rPr>
                <w:rFonts w:hint="eastAsia" w:ascii="宋体" w:hAnsi="宋体" w:cs="宋体"/>
                <w:sz w:val="18"/>
                <w:szCs w:val="18"/>
              </w:rPr>
              <w:t>行政处罚</w:t>
            </w:r>
          </w:p>
        </w:tc>
        <w:tc>
          <w:tcPr>
            <w:tcW w:w="3140" w:type="dxa"/>
            <w:tcBorders>
              <w:top w:val="single" w:color="000000" w:sz="4" w:space="0"/>
              <w:left w:val="single" w:color="000000" w:sz="4" w:space="0"/>
              <w:bottom w:val="single" w:color="000000" w:sz="4" w:space="0"/>
              <w:right w:val="single" w:color="000000" w:sz="4" w:space="0"/>
            </w:tcBorders>
            <w:vAlign w:val="center"/>
          </w:tcPr>
          <w:p w14:paraId="567F79D3">
            <w:pPr>
              <w:spacing w:line="240" w:lineRule="exact"/>
              <w:rPr>
                <w:rFonts w:hint="eastAsia" w:ascii="宋体" w:hAnsi="宋体" w:eastAsia="宋体" w:cs="宋体"/>
                <w:sz w:val="18"/>
                <w:szCs w:val="18"/>
                <w:lang w:eastAsia="zh-CN"/>
              </w:rPr>
            </w:pPr>
            <w:r>
              <w:rPr>
                <w:rFonts w:hint="eastAsia" w:ascii="宋体" w:hAnsi="宋体" w:cs="宋体"/>
                <w:sz w:val="18"/>
                <w:szCs w:val="18"/>
              </w:rPr>
              <w:t>【地方性法规】《辽宁省商品质量监督条例》(2010年7月30日修正）</w:t>
            </w:r>
          </w:p>
          <w:p w14:paraId="7F37B967">
            <w:pPr>
              <w:spacing w:line="240" w:lineRule="exact"/>
              <w:rPr>
                <w:rFonts w:hint="eastAsia" w:ascii="宋体" w:hAnsi="宋体" w:eastAsia="宋体" w:cs="宋体"/>
                <w:sz w:val="18"/>
                <w:szCs w:val="18"/>
                <w:lang w:eastAsia="zh-CN"/>
              </w:rPr>
            </w:pPr>
            <w:r>
              <w:rPr>
                <w:rFonts w:hint="eastAsia" w:ascii="宋体" w:hAnsi="宋体" w:cs="宋体"/>
                <w:sz w:val="18"/>
                <w:szCs w:val="18"/>
              </w:rPr>
              <w:t>第八条 第一款商品的标识必须符合下列要求：</w:t>
            </w:r>
          </w:p>
          <w:p w14:paraId="167316A2">
            <w:pPr>
              <w:spacing w:line="240" w:lineRule="exact"/>
              <w:rPr>
                <w:rFonts w:hint="eastAsia" w:ascii="宋体" w:hAnsi="宋体" w:eastAsia="宋体" w:cs="宋体"/>
                <w:sz w:val="18"/>
                <w:szCs w:val="18"/>
                <w:lang w:eastAsia="zh-CN"/>
              </w:rPr>
            </w:pPr>
            <w:r>
              <w:rPr>
                <w:rFonts w:hint="eastAsia" w:ascii="宋体" w:hAnsi="宋体" w:cs="宋体"/>
                <w:sz w:val="18"/>
                <w:szCs w:val="18"/>
              </w:rPr>
              <w:t>（一）有检验机构或检验人员签证的商品检验合格证；</w:t>
            </w:r>
          </w:p>
          <w:p w14:paraId="12B92D50">
            <w:pPr>
              <w:spacing w:line="240" w:lineRule="exact"/>
              <w:rPr>
                <w:rFonts w:hint="eastAsia" w:ascii="宋体" w:hAnsi="宋体" w:eastAsia="宋体" w:cs="宋体"/>
                <w:sz w:val="18"/>
                <w:szCs w:val="18"/>
                <w:lang w:eastAsia="zh-CN"/>
              </w:rPr>
            </w:pPr>
            <w:r>
              <w:rPr>
                <w:rFonts w:hint="eastAsia" w:ascii="宋体" w:hAnsi="宋体" w:cs="宋体"/>
                <w:sz w:val="18"/>
                <w:szCs w:val="18"/>
              </w:rPr>
              <w:t>（二）有中文标明的商品名称、生产厂名和厂址；</w:t>
            </w:r>
          </w:p>
          <w:p w14:paraId="386E0C0D">
            <w:pPr>
              <w:spacing w:line="240" w:lineRule="exact"/>
              <w:rPr>
                <w:rFonts w:hint="eastAsia" w:ascii="宋体" w:hAnsi="宋体" w:eastAsia="宋体" w:cs="宋体"/>
                <w:sz w:val="18"/>
                <w:szCs w:val="18"/>
                <w:lang w:eastAsia="zh-CN"/>
              </w:rPr>
            </w:pPr>
            <w:r>
              <w:rPr>
                <w:rFonts w:hint="eastAsia" w:ascii="宋体" w:hAnsi="宋体" w:cs="宋体"/>
                <w:sz w:val="18"/>
                <w:szCs w:val="18"/>
              </w:rPr>
              <w:t>（三）按商品特点标明规格、等级、主要质量指标、标准编号、生产批号；</w:t>
            </w:r>
          </w:p>
          <w:p w14:paraId="4647F659">
            <w:pPr>
              <w:spacing w:line="240" w:lineRule="exact"/>
              <w:rPr>
                <w:rFonts w:hint="eastAsia" w:ascii="宋体" w:hAnsi="宋体" w:eastAsia="宋体" w:cs="宋体"/>
                <w:sz w:val="18"/>
                <w:szCs w:val="18"/>
                <w:lang w:eastAsia="zh-CN"/>
              </w:rPr>
            </w:pPr>
            <w:r>
              <w:rPr>
                <w:rFonts w:hint="eastAsia" w:ascii="宋体" w:hAnsi="宋体" w:cs="宋体"/>
                <w:sz w:val="18"/>
                <w:szCs w:val="18"/>
              </w:rPr>
              <w:t>（四）有与商品质量特性相符的中文说明；</w:t>
            </w:r>
          </w:p>
          <w:p w14:paraId="4DE87139">
            <w:pPr>
              <w:spacing w:line="240" w:lineRule="exact"/>
              <w:rPr>
                <w:rFonts w:hint="eastAsia" w:ascii="宋体" w:hAnsi="宋体" w:eastAsia="宋体" w:cs="宋体"/>
                <w:sz w:val="18"/>
                <w:szCs w:val="18"/>
                <w:lang w:eastAsia="zh-CN"/>
              </w:rPr>
            </w:pPr>
            <w:r>
              <w:rPr>
                <w:rFonts w:hint="eastAsia" w:ascii="宋体" w:hAnsi="宋体" w:cs="宋体"/>
                <w:sz w:val="18"/>
                <w:szCs w:val="18"/>
              </w:rPr>
              <w:t>（五）实行许可证制度的商品，有许可证标记、编号、批准日期、有效期限；</w:t>
            </w:r>
          </w:p>
          <w:p w14:paraId="54CF676A">
            <w:pPr>
              <w:spacing w:line="240" w:lineRule="exact"/>
              <w:rPr>
                <w:rFonts w:hint="eastAsia" w:ascii="宋体" w:hAnsi="宋体" w:eastAsia="宋体" w:cs="宋体"/>
                <w:sz w:val="18"/>
                <w:szCs w:val="18"/>
                <w:lang w:eastAsia="zh-CN"/>
              </w:rPr>
            </w:pPr>
            <w:r>
              <w:rPr>
                <w:rFonts w:hint="eastAsia" w:ascii="宋体" w:hAnsi="宋体" w:cs="宋体"/>
                <w:sz w:val="18"/>
                <w:szCs w:val="18"/>
              </w:rPr>
              <w:t>第九条 第一款达不到有关标准规定等级，仍有使用价值的商品，在销售时必须在商品和包装上标明显著的“处理品”（含副品、等外品）字样。</w:t>
            </w:r>
          </w:p>
          <w:p w14:paraId="3DE04DD5">
            <w:pPr>
              <w:spacing w:line="240" w:lineRule="exact"/>
              <w:rPr>
                <w:rFonts w:ascii="宋体" w:hAnsi="宋体" w:cs="宋体"/>
                <w:sz w:val="18"/>
                <w:szCs w:val="18"/>
              </w:rPr>
            </w:pPr>
            <w:r>
              <w:rPr>
                <w:rFonts w:hint="eastAsia" w:ascii="宋体" w:hAnsi="宋体" w:cs="宋体"/>
                <w:sz w:val="18"/>
                <w:szCs w:val="18"/>
              </w:rPr>
              <w:t>第三十五条  对违反本条例第八条第一款第(一)项、第(二)项、第(三)项、第(四)项、第(五)项和第九条第一款规定的，责令限期改正；情节严重的，责令停止生产、销售，没收违法所得，并处违法所得15%至20%的罚款。</w:t>
            </w:r>
          </w:p>
        </w:tc>
        <w:tc>
          <w:tcPr>
            <w:tcW w:w="943" w:type="dxa"/>
            <w:tcBorders>
              <w:top w:val="single" w:color="000000" w:sz="4" w:space="0"/>
              <w:left w:val="single" w:color="000000" w:sz="4" w:space="0"/>
              <w:bottom w:val="single" w:color="000000" w:sz="4" w:space="0"/>
              <w:right w:val="single" w:color="000000" w:sz="4" w:space="0"/>
            </w:tcBorders>
            <w:vAlign w:val="center"/>
          </w:tcPr>
          <w:p w14:paraId="3B2BE40A">
            <w:pPr>
              <w:spacing w:line="240" w:lineRule="exact"/>
              <w:jc w:val="center"/>
              <w:rPr>
                <w:rFonts w:ascii="宋体" w:hAnsi="宋体" w:cs="宋体"/>
                <w:sz w:val="18"/>
                <w:szCs w:val="18"/>
              </w:rPr>
            </w:pPr>
            <w:r>
              <w:rPr>
                <w:rFonts w:hint="eastAsia" w:ascii="宋体" w:hAnsi="宋体" w:cs="宋体"/>
                <w:sz w:val="18"/>
                <w:szCs w:val="18"/>
              </w:rPr>
              <w:t>县级市场监管部门</w:t>
            </w:r>
          </w:p>
        </w:tc>
        <w:tc>
          <w:tcPr>
            <w:tcW w:w="977" w:type="dxa"/>
            <w:tcBorders>
              <w:top w:val="single" w:color="000000" w:sz="4" w:space="0"/>
              <w:left w:val="single" w:color="000000" w:sz="4" w:space="0"/>
              <w:bottom w:val="single" w:color="000000" w:sz="4" w:space="0"/>
              <w:right w:val="single" w:color="000000" w:sz="4" w:space="0"/>
            </w:tcBorders>
            <w:vAlign w:val="center"/>
          </w:tcPr>
          <w:p w14:paraId="517F5F47">
            <w:pPr>
              <w:spacing w:line="240" w:lineRule="exact"/>
              <w:rPr>
                <w:rFonts w:ascii="宋体" w:hAnsi="宋体" w:cs="宋体"/>
                <w:sz w:val="18"/>
                <w:szCs w:val="18"/>
              </w:rPr>
            </w:pPr>
            <w:r>
              <w:rPr>
                <w:rFonts w:hint="eastAsia" w:ascii="宋体" w:hAnsi="宋体" w:cs="宋体"/>
                <w:sz w:val="18"/>
                <w:szCs w:val="18"/>
              </w:rPr>
              <w:t>取消。取消后相关处罚内容按照《中华人民共和国产品质量法》相关条款实施。</w:t>
            </w:r>
          </w:p>
        </w:tc>
        <w:tc>
          <w:tcPr>
            <w:tcW w:w="981" w:type="dxa"/>
            <w:tcBorders>
              <w:top w:val="single" w:color="000000" w:sz="4" w:space="0"/>
              <w:left w:val="single" w:color="000000" w:sz="4" w:space="0"/>
              <w:bottom w:val="single" w:color="000000" w:sz="4" w:space="0"/>
              <w:right w:val="single" w:color="000000" w:sz="4" w:space="0"/>
            </w:tcBorders>
            <w:vAlign w:val="center"/>
          </w:tcPr>
          <w:p w14:paraId="21E732BA">
            <w:pPr>
              <w:spacing w:line="240" w:lineRule="exact"/>
              <w:ind w:firstLine="360" w:firstLineChars="200"/>
              <w:rPr>
                <w:rFonts w:ascii="宋体" w:hAnsi="宋体" w:cs="宋体"/>
                <w:sz w:val="18"/>
                <w:szCs w:val="18"/>
              </w:rPr>
            </w:pPr>
          </w:p>
        </w:tc>
        <w:tc>
          <w:tcPr>
            <w:tcW w:w="636" w:type="dxa"/>
            <w:tcBorders>
              <w:top w:val="single" w:color="000000" w:sz="4" w:space="0"/>
              <w:left w:val="single" w:color="000000" w:sz="4" w:space="0"/>
              <w:bottom w:val="single" w:color="000000" w:sz="4" w:space="0"/>
              <w:right w:val="single" w:color="000000" w:sz="4" w:space="0"/>
            </w:tcBorders>
            <w:vAlign w:val="center"/>
          </w:tcPr>
          <w:p w14:paraId="0C4AC5E4">
            <w:pPr>
              <w:spacing w:line="240" w:lineRule="exact"/>
              <w:ind w:firstLine="360" w:firstLineChars="200"/>
              <w:rPr>
                <w:rFonts w:ascii="宋体" w:hAnsi="宋体" w:cs="宋体"/>
                <w:sz w:val="18"/>
                <w:szCs w:val="18"/>
              </w:rPr>
            </w:pPr>
          </w:p>
        </w:tc>
      </w:tr>
      <w:tr w14:paraId="77D19DDA">
        <w:tblPrEx>
          <w:tblCellMar>
            <w:top w:w="0" w:type="dxa"/>
            <w:left w:w="108" w:type="dxa"/>
            <w:bottom w:w="0" w:type="dxa"/>
            <w:right w:w="108" w:type="dxa"/>
          </w:tblCellMar>
        </w:tblPrEx>
        <w:trPr>
          <w:trHeight w:val="1955" w:hRule="atLeast"/>
          <w:jc w:val="center"/>
        </w:trPr>
        <w:tc>
          <w:tcPr>
            <w:tcW w:w="493" w:type="dxa"/>
            <w:tcBorders>
              <w:top w:val="single" w:color="000000" w:sz="4" w:space="0"/>
              <w:left w:val="single" w:color="000000" w:sz="4" w:space="0"/>
              <w:bottom w:val="single" w:color="000000" w:sz="4" w:space="0"/>
              <w:right w:val="single" w:color="000000" w:sz="4" w:space="0"/>
            </w:tcBorders>
            <w:noWrap/>
            <w:vAlign w:val="center"/>
          </w:tcPr>
          <w:p w14:paraId="49A12AE6">
            <w:pPr>
              <w:spacing w:line="240" w:lineRule="exact"/>
              <w:jc w:val="center"/>
              <w:rPr>
                <w:rFonts w:ascii="宋体" w:hAnsi="宋体" w:cs="宋体"/>
                <w:sz w:val="18"/>
                <w:szCs w:val="18"/>
              </w:rPr>
            </w:pPr>
            <w:r>
              <w:rPr>
                <w:rFonts w:hint="eastAsia" w:ascii="宋体" w:hAnsi="宋体" w:cs="宋体"/>
                <w:sz w:val="18"/>
                <w:szCs w:val="18"/>
              </w:rPr>
              <w:t>2</w:t>
            </w:r>
          </w:p>
        </w:tc>
        <w:tc>
          <w:tcPr>
            <w:tcW w:w="1087" w:type="dxa"/>
            <w:tcBorders>
              <w:top w:val="single" w:color="000000" w:sz="4" w:space="0"/>
              <w:left w:val="single" w:color="000000" w:sz="4" w:space="0"/>
              <w:bottom w:val="single" w:color="000000" w:sz="4" w:space="0"/>
              <w:right w:val="single" w:color="000000" w:sz="4" w:space="0"/>
            </w:tcBorders>
            <w:vAlign w:val="center"/>
          </w:tcPr>
          <w:p w14:paraId="439AB0F0">
            <w:pPr>
              <w:spacing w:line="240" w:lineRule="exact"/>
              <w:rPr>
                <w:rFonts w:ascii="宋体" w:hAnsi="宋体" w:cs="宋体"/>
                <w:sz w:val="18"/>
                <w:szCs w:val="18"/>
              </w:rPr>
            </w:pPr>
            <w:r>
              <w:rPr>
                <w:rFonts w:hint="eastAsia" w:ascii="宋体" w:hAnsi="宋体" w:cs="宋体"/>
                <w:sz w:val="18"/>
                <w:szCs w:val="18"/>
              </w:rPr>
              <w:t>对违反《辽宁省商品质量监督条例》行为的处罚</w:t>
            </w:r>
          </w:p>
        </w:tc>
        <w:tc>
          <w:tcPr>
            <w:tcW w:w="1139" w:type="dxa"/>
            <w:tcBorders>
              <w:top w:val="single" w:color="000000" w:sz="4" w:space="0"/>
              <w:left w:val="single" w:color="000000" w:sz="4" w:space="0"/>
              <w:bottom w:val="single" w:color="000000" w:sz="4" w:space="0"/>
              <w:right w:val="single" w:color="000000" w:sz="4" w:space="0"/>
            </w:tcBorders>
            <w:vAlign w:val="center"/>
          </w:tcPr>
          <w:p w14:paraId="7E1A3DBC">
            <w:pPr>
              <w:spacing w:line="240" w:lineRule="exact"/>
              <w:rPr>
                <w:rFonts w:ascii="宋体" w:hAnsi="宋体" w:cs="宋体"/>
                <w:sz w:val="18"/>
                <w:szCs w:val="18"/>
              </w:rPr>
            </w:pPr>
            <w:r>
              <w:rPr>
                <w:rFonts w:hint="eastAsia" w:ascii="宋体" w:hAnsi="宋体" w:cs="宋体"/>
                <w:sz w:val="18"/>
                <w:szCs w:val="18"/>
              </w:rPr>
              <w:t>4.对擅自处理或转移被封存的商品行为的处罚</w:t>
            </w:r>
          </w:p>
        </w:tc>
        <w:tc>
          <w:tcPr>
            <w:tcW w:w="810" w:type="dxa"/>
            <w:tcBorders>
              <w:top w:val="single" w:color="000000" w:sz="4" w:space="0"/>
              <w:left w:val="single" w:color="000000" w:sz="4" w:space="0"/>
              <w:bottom w:val="single" w:color="000000" w:sz="4" w:space="0"/>
              <w:right w:val="single" w:color="000000" w:sz="4" w:space="0"/>
            </w:tcBorders>
            <w:vAlign w:val="center"/>
          </w:tcPr>
          <w:p w14:paraId="110CE88A">
            <w:pPr>
              <w:spacing w:line="240" w:lineRule="exact"/>
              <w:jc w:val="center"/>
              <w:rPr>
                <w:rFonts w:ascii="宋体" w:hAnsi="宋体" w:cs="宋体"/>
                <w:sz w:val="18"/>
                <w:szCs w:val="18"/>
              </w:rPr>
            </w:pPr>
            <w:r>
              <w:rPr>
                <w:rFonts w:hint="eastAsia" w:ascii="宋体" w:hAnsi="宋体" w:cs="宋体"/>
                <w:sz w:val="18"/>
                <w:szCs w:val="18"/>
              </w:rPr>
              <w:t>行政处罚</w:t>
            </w:r>
          </w:p>
        </w:tc>
        <w:tc>
          <w:tcPr>
            <w:tcW w:w="3140" w:type="dxa"/>
            <w:tcBorders>
              <w:top w:val="single" w:color="000000" w:sz="4" w:space="0"/>
              <w:left w:val="single" w:color="000000" w:sz="4" w:space="0"/>
              <w:bottom w:val="single" w:color="000000" w:sz="4" w:space="0"/>
              <w:right w:val="single" w:color="000000" w:sz="4" w:space="0"/>
            </w:tcBorders>
            <w:vAlign w:val="center"/>
          </w:tcPr>
          <w:p w14:paraId="756B1828">
            <w:pPr>
              <w:spacing w:line="240" w:lineRule="exact"/>
              <w:rPr>
                <w:rFonts w:hint="eastAsia" w:ascii="宋体" w:hAnsi="宋体" w:eastAsia="宋体" w:cs="宋体"/>
                <w:sz w:val="18"/>
                <w:szCs w:val="18"/>
                <w:lang w:eastAsia="zh-CN"/>
              </w:rPr>
            </w:pPr>
            <w:r>
              <w:rPr>
                <w:rFonts w:hint="eastAsia" w:ascii="宋体" w:hAnsi="宋体" w:cs="宋体"/>
                <w:sz w:val="18"/>
                <w:szCs w:val="18"/>
              </w:rPr>
              <w:t>【地方性法规】《辽宁省商品质量监督条例》(2010年7月30日修正）</w:t>
            </w:r>
          </w:p>
          <w:p w14:paraId="48109AD9">
            <w:pPr>
              <w:spacing w:line="240" w:lineRule="exact"/>
              <w:rPr>
                <w:rFonts w:hint="eastAsia" w:ascii="宋体" w:hAnsi="宋体" w:eastAsia="宋体" w:cs="宋体"/>
                <w:sz w:val="18"/>
                <w:szCs w:val="18"/>
                <w:lang w:eastAsia="zh-CN"/>
              </w:rPr>
            </w:pPr>
            <w:r>
              <w:rPr>
                <w:rFonts w:hint="eastAsia" w:ascii="宋体" w:hAnsi="宋体" w:cs="宋体"/>
                <w:sz w:val="18"/>
                <w:szCs w:val="18"/>
              </w:rPr>
              <w:t>第二十四条第二款 任何单位和个人不得擅自处理或转移被封存的商品。</w:t>
            </w:r>
          </w:p>
          <w:p w14:paraId="1F8BDD93">
            <w:pPr>
              <w:spacing w:line="240" w:lineRule="exact"/>
              <w:rPr>
                <w:rFonts w:ascii="宋体" w:hAnsi="宋体" w:cs="宋体"/>
                <w:sz w:val="18"/>
                <w:szCs w:val="18"/>
              </w:rPr>
            </w:pPr>
            <w:r>
              <w:rPr>
                <w:rFonts w:hint="eastAsia" w:ascii="宋体" w:hAnsi="宋体" w:cs="宋体"/>
                <w:sz w:val="18"/>
                <w:szCs w:val="18"/>
              </w:rPr>
              <w:t>第三十五条 对违反本条例第二十四条第二款规定的，处该商品货值金额1倍以上3倍以下的罚款；有违法所得的，并处没收违法所得。</w:t>
            </w:r>
          </w:p>
        </w:tc>
        <w:tc>
          <w:tcPr>
            <w:tcW w:w="943" w:type="dxa"/>
            <w:tcBorders>
              <w:top w:val="single" w:color="000000" w:sz="4" w:space="0"/>
              <w:left w:val="single" w:color="000000" w:sz="4" w:space="0"/>
              <w:bottom w:val="single" w:color="000000" w:sz="4" w:space="0"/>
              <w:right w:val="single" w:color="000000" w:sz="4" w:space="0"/>
            </w:tcBorders>
            <w:vAlign w:val="center"/>
          </w:tcPr>
          <w:p w14:paraId="4D1BE11C">
            <w:pPr>
              <w:spacing w:line="240" w:lineRule="exact"/>
              <w:jc w:val="center"/>
              <w:rPr>
                <w:rFonts w:ascii="宋体" w:hAnsi="宋体" w:cs="宋体"/>
                <w:sz w:val="18"/>
                <w:szCs w:val="18"/>
              </w:rPr>
            </w:pPr>
            <w:r>
              <w:rPr>
                <w:rFonts w:hint="eastAsia" w:ascii="宋体" w:hAnsi="宋体" w:cs="宋体"/>
                <w:sz w:val="18"/>
                <w:szCs w:val="18"/>
              </w:rPr>
              <w:t>县级市场监管部门</w:t>
            </w:r>
          </w:p>
        </w:tc>
        <w:tc>
          <w:tcPr>
            <w:tcW w:w="977" w:type="dxa"/>
            <w:tcBorders>
              <w:top w:val="single" w:color="000000" w:sz="4" w:space="0"/>
              <w:left w:val="single" w:color="000000" w:sz="4" w:space="0"/>
              <w:bottom w:val="single" w:color="000000" w:sz="4" w:space="0"/>
              <w:right w:val="single" w:color="000000" w:sz="4" w:space="0"/>
            </w:tcBorders>
            <w:vAlign w:val="center"/>
          </w:tcPr>
          <w:p w14:paraId="66774235">
            <w:pPr>
              <w:spacing w:line="220" w:lineRule="exact"/>
              <w:rPr>
                <w:rFonts w:ascii="宋体" w:hAnsi="宋体" w:cs="宋体"/>
                <w:sz w:val="18"/>
                <w:szCs w:val="18"/>
              </w:rPr>
            </w:pPr>
            <w:r>
              <w:rPr>
                <w:rFonts w:hint="eastAsia" w:ascii="宋体" w:hAnsi="宋体" w:cs="宋体"/>
                <w:sz w:val="18"/>
                <w:szCs w:val="18"/>
              </w:rPr>
              <w:t>取消。取消后相关处罚内容按照《中华人民共和国产品质量法》相关条款实施。</w:t>
            </w:r>
          </w:p>
        </w:tc>
        <w:tc>
          <w:tcPr>
            <w:tcW w:w="981" w:type="dxa"/>
            <w:tcBorders>
              <w:top w:val="single" w:color="000000" w:sz="4" w:space="0"/>
              <w:left w:val="single" w:color="000000" w:sz="4" w:space="0"/>
              <w:bottom w:val="single" w:color="000000" w:sz="4" w:space="0"/>
              <w:right w:val="single" w:color="000000" w:sz="4" w:space="0"/>
            </w:tcBorders>
            <w:vAlign w:val="center"/>
          </w:tcPr>
          <w:p w14:paraId="471A0626">
            <w:pPr>
              <w:spacing w:line="240" w:lineRule="exact"/>
              <w:ind w:firstLine="360" w:firstLineChars="200"/>
              <w:rPr>
                <w:rFonts w:ascii="宋体" w:hAnsi="宋体" w:cs="宋体"/>
                <w:sz w:val="18"/>
                <w:szCs w:val="18"/>
              </w:rPr>
            </w:pPr>
          </w:p>
        </w:tc>
        <w:tc>
          <w:tcPr>
            <w:tcW w:w="636" w:type="dxa"/>
            <w:tcBorders>
              <w:top w:val="single" w:color="000000" w:sz="4" w:space="0"/>
              <w:left w:val="single" w:color="000000" w:sz="4" w:space="0"/>
              <w:bottom w:val="single" w:color="000000" w:sz="4" w:space="0"/>
              <w:right w:val="single" w:color="000000" w:sz="4" w:space="0"/>
            </w:tcBorders>
            <w:vAlign w:val="center"/>
          </w:tcPr>
          <w:p w14:paraId="166959F2">
            <w:pPr>
              <w:spacing w:line="240" w:lineRule="exact"/>
              <w:ind w:firstLine="360" w:firstLineChars="200"/>
              <w:rPr>
                <w:rFonts w:ascii="宋体" w:hAnsi="宋体" w:cs="宋体"/>
                <w:sz w:val="18"/>
                <w:szCs w:val="18"/>
              </w:rPr>
            </w:pPr>
          </w:p>
        </w:tc>
      </w:tr>
      <w:tr w14:paraId="562BB48E">
        <w:tblPrEx>
          <w:tblCellMar>
            <w:top w:w="0" w:type="dxa"/>
            <w:left w:w="108" w:type="dxa"/>
            <w:bottom w:w="0" w:type="dxa"/>
            <w:right w:w="108" w:type="dxa"/>
          </w:tblCellMar>
        </w:tblPrEx>
        <w:trPr>
          <w:trHeight w:val="2065" w:hRule="atLeast"/>
          <w:jc w:val="center"/>
        </w:trPr>
        <w:tc>
          <w:tcPr>
            <w:tcW w:w="493" w:type="dxa"/>
            <w:tcBorders>
              <w:top w:val="single" w:color="000000" w:sz="4" w:space="0"/>
              <w:left w:val="single" w:color="000000" w:sz="4" w:space="0"/>
              <w:bottom w:val="single" w:color="000000" w:sz="4" w:space="0"/>
              <w:right w:val="single" w:color="000000" w:sz="4" w:space="0"/>
            </w:tcBorders>
            <w:noWrap/>
            <w:vAlign w:val="center"/>
          </w:tcPr>
          <w:p w14:paraId="304CAAAB">
            <w:pPr>
              <w:spacing w:line="240" w:lineRule="exact"/>
              <w:rPr>
                <w:rFonts w:ascii="宋体" w:hAnsi="宋体" w:cs="宋体"/>
                <w:sz w:val="18"/>
                <w:szCs w:val="18"/>
              </w:rPr>
            </w:pPr>
            <w:r>
              <w:rPr>
                <w:rFonts w:hint="eastAsia" w:ascii="宋体" w:hAnsi="宋体" w:cs="宋体"/>
                <w:sz w:val="18"/>
                <w:szCs w:val="18"/>
              </w:rPr>
              <w:t>2</w:t>
            </w:r>
          </w:p>
        </w:tc>
        <w:tc>
          <w:tcPr>
            <w:tcW w:w="1087" w:type="dxa"/>
            <w:tcBorders>
              <w:top w:val="single" w:color="000000" w:sz="4" w:space="0"/>
              <w:left w:val="single" w:color="000000" w:sz="4" w:space="0"/>
              <w:bottom w:val="single" w:color="000000" w:sz="4" w:space="0"/>
              <w:right w:val="single" w:color="000000" w:sz="4" w:space="0"/>
            </w:tcBorders>
            <w:vAlign w:val="center"/>
          </w:tcPr>
          <w:p w14:paraId="7574F2A6">
            <w:pPr>
              <w:spacing w:line="240" w:lineRule="exact"/>
              <w:rPr>
                <w:rFonts w:ascii="宋体" w:hAnsi="宋体" w:cs="宋体"/>
                <w:sz w:val="18"/>
                <w:szCs w:val="18"/>
              </w:rPr>
            </w:pPr>
            <w:r>
              <w:rPr>
                <w:rFonts w:hint="eastAsia" w:ascii="宋体" w:hAnsi="宋体" w:cs="宋体"/>
                <w:sz w:val="18"/>
                <w:szCs w:val="18"/>
              </w:rPr>
              <w:t>对违反《辽宁省商品质量监督条例》行为的处罚</w:t>
            </w:r>
          </w:p>
        </w:tc>
        <w:tc>
          <w:tcPr>
            <w:tcW w:w="1139" w:type="dxa"/>
            <w:tcBorders>
              <w:top w:val="single" w:color="000000" w:sz="4" w:space="0"/>
              <w:left w:val="single" w:color="000000" w:sz="4" w:space="0"/>
              <w:bottom w:val="single" w:color="000000" w:sz="4" w:space="0"/>
              <w:right w:val="single" w:color="000000" w:sz="4" w:space="0"/>
            </w:tcBorders>
            <w:vAlign w:val="center"/>
          </w:tcPr>
          <w:p w14:paraId="267FB1B1">
            <w:pPr>
              <w:spacing w:line="240" w:lineRule="exact"/>
              <w:rPr>
                <w:rFonts w:ascii="宋体" w:hAnsi="宋体" w:cs="宋体"/>
                <w:sz w:val="18"/>
                <w:szCs w:val="18"/>
              </w:rPr>
            </w:pPr>
            <w:r>
              <w:rPr>
                <w:rFonts w:hint="eastAsia" w:ascii="宋体" w:hAnsi="宋体" w:cs="宋体"/>
                <w:sz w:val="18"/>
                <w:szCs w:val="18"/>
              </w:rPr>
              <w:t>5.对商品质量检验机构伪造检验结论行为的处罚</w:t>
            </w:r>
          </w:p>
        </w:tc>
        <w:tc>
          <w:tcPr>
            <w:tcW w:w="810" w:type="dxa"/>
            <w:tcBorders>
              <w:top w:val="single" w:color="000000" w:sz="4" w:space="0"/>
              <w:left w:val="single" w:color="000000" w:sz="4" w:space="0"/>
              <w:bottom w:val="single" w:color="000000" w:sz="4" w:space="0"/>
              <w:right w:val="single" w:color="000000" w:sz="4" w:space="0"/>
            </w:tcBorders>
            <w:vAlign w:val="center"/>
          </w:tcPr>
          <w:p w14:paraId="2031E13F">
            <w:pPr>
              <w:spacing w:line="240" w:lineRule="exact"/>
              <w:jc w:val="center"/>
              <w:rPr>
                <w:rFonts w:ascii="宋体" w:hAnsi="宋体" w:cs="宋体"/>
                <w:sz w:val="18"/>
                <w:szCs w:val="18"/>
              </w:rPr>
            </w:pPr>
            <w:r>
              <w:rPr>
                <w:rFonts w:hint="eastAsia" w:ascii="宋体" w:hAnsi="宋体" w:cs="宋体"/>
                <w:sz w:val="18"/>
                <w:szCs w:val="18"/>
              </w:rPr>
              <w:t>行政处罚</w:t>
            </w:r>
          </w:p>
        </w:tc>
        <w:tc>
          <w:tcPr>
            <w:tcW w:w="3140" w:type="dxa"/>
            <w:tcBorders>
              <w:top w:val="single" w:color="000000" w:sz="4" w:space="0"/>
              <w:left w:val="single" w:color="000000" w:sz="4" w:space="0"/>
              <w:bottom w:val="single" w:color="000000" w:sz="4" w:space="0"/>
              <w:right w:val="single" w:color="000000" w:sz="4" w:space="0"/>
            </w:tcBorders>
            <w:vAlign w:val="center"/>
          </w:tcPr>
          <w:p w14:paraId="3C543109">
            <w:pPr>
              <w:spacing w:line="240" w:lineRule="exact"/>
              <w:rPr>
                <w:rFonts w:hint="eastAsia" w:ascii="宋体" w:hAnsi="宋体" w:eastAsia="宋体" w:cs="宋体"/>
                <w:sz w:val="18"/>
                <w:szCs w:val="18"/>
                <w:lang w:eastAsia="zh-CN"/>
              </w:rPr>
            </w:pPr>
            <w:r>
              <w:rPr>
                <w:rFonts w:hint="eastAsia" w:ascii="宋体" w:hAnsi="宋体" w:cs="宋体"/>
                <w:sz w:val="18"/>
                <w:szCs w:val="18"/>
              </w:rPr>
              <w:t>【地方性法规】《辽宁省商品质量监督条例》(2010年7月30日修正）</w:t>
            </w:r>
          </w:p>
          <w:p w14:paraId="02AEDA9C">
            <w:pPr>
              <w:spacing w:line="240" w:lineRule="exact"/>
              <w:rPr>
                <w:rFonts w:ascii="宋体" w:hAnsi="宋体" w:cs="宋体"/>
                <w:sz w:val="18"/>
                <w:szCs w:val="18"/>
              </w:rPr>
            </w:pPr>
            <w:r>
              <w:rPr>
                <w:rFonts w:hint="eastAsia" w:ascii="宋体" w:hAnsi="宋体" w:cs="宋体"/>
                <w:sz w:val="18"/>
                <w:szCs w:val="18"/>
              </w:rPr>
              <w:t>第三十六条第二款 伪造检验结论的，责令改正，对单位处5万元以上10万元以下的罚款；对直接负责的主管人员和其他直接责任人员处1万元以上5万元以下的罚款；有违法所得的，并处没收违法所得；情节严重的，取消其检验资格、认证资格；构成犯罪的，依法追究刑事责任。</w:t>
            </w:r>
          </w:p>
        </w:tc>
        <w:tc>
          <w:tcPr>
            <w:tcW w:w="943" w:type="dxa"/>
            <w:tcBorders>
              <w:top w:val="single" w:color="000000" w:sz="4" w:space="0"/>
              <w:left w:val="single" w:color="000000" w:sz="4" w:space="0"/>
              <w:bottom w:val="single" w:color="000000" w:sz="4" w:space="0"/>
              <w:right w:val="single" w:color="000000" w:sz="4" w:space="0"/>
            </w:tcBorders>
            <w:vAlign w:val="center"/>
          </w:tcPr>
          <w:p w14:paraId="747F3990">
            <w:pPr>
              <w:spacing w:line="240" w:lineRule="exact"/>
              <w:jc w:val="center"/>
              <w:rPr>
                <w:rFonts w:ascii="宋体" w:hAnsi="宋体" w:cs="宋体"/>
                <w:sz w:val="18"/>
                <w:szCs w:val="18"/>
              </w:rPr>
            </w:pPr>
            <w:r>
              <w:rPr>
                <w:rFonts w:hint="eastAsia" w:ascii="宋体" w:hAnsi="宋体" w:cs="宋体"/>
                <w:sz w:val="18"/>
                <w:szCs w:val="18"/>
              </w:rPr>
              <w:t>县级市场监管部门</w:t>
            </w:r>
          </w:p>
        </w:tc>
        <w:tc>
          <w:tcPr>
            <w:tcW w:w="977" w:type="dxa"/>
            <w:tcBorders>
              <w:top w:val="single" w:color="000000" w:sz="4" w:space="0"/>
              <w:left w:val="single" w:color="000000" w:sz="4" w:space="0"/>
              <w:bottom w:val="single" w:color="000000" w:sz="4" w:space="0"/>
              <w:right w:val="single" w:color="000000" w:sz="4" w:space="0"/>
            </w:tcBorders>
            <w:vAlign w:val="center"/>
          </w:tcPr>
          <w:p w14:paraId="18AFB744">
            <w:pPr>
              <w:spacing w:line="220" w:lineRule="exact"/>
              <w:rPr>
                <w:rFonts w:ascii="宋体" w:hAnsi="宋体" w:cs="宋体"/>
                <w:sz w:val="18"/>
                <w:szCs w:val="18"/>
              </w:rPr>
            </w:pPr>
            <w:r>
              <w:rPr>
                <w:rFonts w:hint="eastAsia" w:ascii="宋体" w:hAnsi="宋体" w:cs="宋体"/>
                <w:sz w:val="18"/>
                <w:szCs w:val="18"/>
              </w:rPr>
              <w:t>取消。取消后相关处罚内容按照《中华人民共和国产品质量法》相关条款实施。</w:t>
            </w:r>
          </w:p>
        </w:tc>
        <w:tc>
          <w:tcPr>
            <w:tcW w:w="981" w:type="dxa"/>
            <w:tcBorders>
              <w:top w:val="single" w:color="000000" w:sz="4" w:space="0"/>
              <w:left w:val="single" w:color="000000" w:sz="4" w:space="0"/>
              <w:bottom w:val="single" w:color="000000" w:sz="4" w:space="0"/>
              <w:right w:val="single" w:color="000000" w:sz="4" w:space="0"/>
            </w:tcBorders>
            <w:vAlign w:val="center"/>
          </w:tcPr>
          <w:p w14:paraId="0ADCCE0E">
            <w:pPr>
              <w:spacing w:line="240" w:lineRule="exact"/>
              <w:ind w:firstLine="360" w:firstLineChars="200"/>
              <w:rPr>
                <w:rFonts w:ascii="宋体" w:hAnsi="宋体" w:cs="宋体"/>
                <w:sz w:val="18"/>
                <w:szCs w:val="18"/>
              </w:rPr>
            </w:pPr>
          </w:p>
        </w:tc>
        <w:tc>
          <w:tcPr>
            <w:tcW w:w="636" w:type="dxa"/>
            <w:tcBorders>
              <w:top w:val="single" w:color="000000" w:sz="4" w:space="0"/>
              <w:left w:val="single" w:color="000000" w:sz="4" w:space="0"/>
              <w:bottom w:val="single" w:color="000000" w:sz="4" w:space="0"/>
              <w:right w:val="single" w:color="000000" w:sz="4" w:space="0"/>
            </w:tcBorders>
            <w:vAlign w:val="center"/>
          </w:tcPr>
          <w:p w14:paraId="78853D59">
            <w:pPr>
              <w:spacing w:line="240" w:lineRule="exact"/>
              <w:ind w:firstLine="360" w:firstLineChars="200"/>
              <w:rPr>
                <w:rFonts w:ascii="宋体" w:hAnsi="宋体" w:cs="宋体"/>
                <w:sz w:val="18"/>
                <w:szCs w:val="18"/>
              </w:rPr>
            </w:pPr>
          </w:p>
        </w:tc>
      </w:tr>
      <w:tr w14:paraId="55C14C63">
        <w:tblPrEx>
          <w:tblCellMar>
            <w:top w:w="0" w:type="dxa"/>
            <w:left w:w="108" w:type="dxa"/>
            <w:bottom w:w="0" w:type="dxa"/>
            <w:right w:w="108" w:type="dxa"/>
          </w:tblCellMar>
        </w:tblPrEx>
        <w:trPr>
          <w:trHeight w:val="2105" w:hRule="atLeast"/>
          <w:jc w:val="center"/>
        </w:trPr>
        <w:tc>
          <w:tcPr>
            <w:tcW w:w="493" w:type="dxa"/>
            <w:tcBorders>
              <w:top w:val="single" w:color="000000" w:sz="4" w:space="0"/>
              <w:left w:val="single" w:color="000000" w:sz="4" w:space="0"/>
              <w:bottom w:val="single" w:color="000000" w:sz="4" w:space="0"/>
              <w:right w:val="single" w:color="000000" w:sz="4" w:space="0"/>
            </w:tcBorders>
            <w:noWrap/>
            <w:vAlign w:val="center"/>
          </w:tcPr>
          <w:p w14:paraId="7A05EF78">
            <w:pPr>
              <w:spacing w:line="240" w:lineRule="exact"/>
              <w:jc w:val="center"/>
              <w:rPr>
                <w:rFonts w:ascii="宋体" w:hAnsi="宋体" w:cs="宋体"/>
                <w:sz w:val="18"/>
                <w:szCs w:val="18"/>
              </w:rPr>
            </w:pPr>
            <w:r>
              <w:rPr>
                <w:rFonts w:hint="eastAsia" w:ascii="宋体" w:hAnsi="宋体" w:cs="宋体"/>
                <w:sz w:val="18"/>
                <w:szCs w:val="18"/>
              </w:rPr>
              <w:t>3</w:t>
            </w:r>
          </w:p>
        </w:tc>
        <w:tc>
          <w:tcPr>
            <w:tcW w:w="1087" w:type="dxa"/>
            <w:tcBorders>
              <w:top w:val="single" w:color="000000" w:sz="4" w:space="0"/>
              <w:left w:val="single" w:color="000000" w:sz="4" w:space="0"/>
              <w:bottom w:val="single" w:color="000000" w:sz="4" w:space="0"/>
              <w:right w:val="single" w:color="000000" w:sz="4" w:space="0"/>
            </w:tcBorders>
            <w:vAlign w:val="center"/>
          </w:tcPr>
          <w:p w14:paraId="19C4DB78">
            <w:pPr>
              <w:spacing w:line="240" w:lineRule="exact"/>
              <w:rPr>
                <w:rFonts w:ascii="宋体" w:hAnsi="宋体" w:cs="宋体"/>
                <w:sz w:val="18"/>
                <w:szCs w:val="18"/>
              </w:rPr>
            </w:pPr>
            <w:r>
              <w:rPr>
                <w:rFonts w:hint="eastAsia" w:ascii="宋体" w:hAnsi="宋体" w:cs="宋体"/>
                <w:sz w:val="18"/>
                <w:szCs w:val="18"/>
              </w:rPr>
              <w:t>对违反《因私出入境中介活动管理办法》行为的处罚</w:t>
            </w:r>
          </w:p>
        </w:tc>
        <w:tc>
          <w:tcPr>
            <w:tcW w:w="1139" w:type="dxa"/>
            <w:tcBorders>
              <w:top w:val="single" w:color="000000" w:sz="4" w:space="0"/>
              <w:left w:val="single" w:color="000000" w:sz="4" w:space="0"/>
              <w:bottom w:val="single" w:color="000000" w:sz="4" w:space="0"/>
              <w:right w:val="single" w:color="000000" w:sz="4" w:space="0"/>
            </w:tcBorders>
            <w:vAlign w:val="center"/>
          </w:tcPr>
          <w:p w14:paraId="528AD4A3">
            <w:pPr>
              <w:spacing w:line="240" w:lineRule="exact"/>
              <w:rPr>
                <w:rFonts w:ascii="宋体" w:hAnsi="宋体" w:cs="宋体"/>
                <w:sz w:val="18"/>
                <w:szCs w:val="18"/>
              </w:rPr>
            </w:pPr>
            <w:r>
              <w:rPr>
                <w:rFonts w:hint="eastAsia" w:ascii="宋体" w:hAnsi="宋体" w:cs="宋体"/>
                <w:sz w:val="18"/>
                <w:szCs w:val="18"/>
              </w:rPr>
              <w:t>对未经批准发布中介活动广告行为的处罚</w:t>
            </w:r>
          </w:p>
        </w:tc>
        <w:tc>
          <w:tcPr>
            <w:tcW w:w="810" w:type="dxa"/>
            <w:tcBorders>
              <w:top w:val="single" w:color="000000" w:sz="4" w:space="0"/>
              <w:left w:val="single" w:color="000000" w:sz="4" w:space="0"/>
              <w:bottom w:val="single" w:color="000000" w:sz="4" w:space="0"/>
              <w:right w:val="single" w:color="000000" w:sz="4" w:space="0"/>
            </w:tcBorders>
            <w:vAlign w:val="center"/>
          </w:tcPr>
          <w:p w14:paraId="11E9E440">
            <w:pPr>
              <w:spacing w:line="240" w:lineRule="exact"/>
              <w:jc w:val="center"/>
              <w:rPr>
                <w:rFonts w:ascii="宋体" w:hAnsi="宋体" w:cs="宋体"/>
                <w:sz w:val="18"/>
                <w:szCs w:val="18"/>
              </w:rPr>
            </w:pPr>
            <w:r>
              <w:rPr>
                <w:rFonts w:hint="eastAsia" w:ascii="宋体" w:hAnsi="宋体" w:cs="宋体"/>
                <w:sz w:val="18"/>
                <w:szCs w:val="18"/>
              </w:rPr>
              <w:t>行政处罚</w:t>
            </w:r>
          </w:p>
        </w:tc>
        <w:tc>
          <w:tcPr>
            <w:tcW w:w="3140" w:type="dxa"/>
            <w:tcBorders>
              <w:top w:val="single" w:color="000000" w:sz="4" w:space="0"/>
              <w:left w:val="single" w:color="000000" w:sz="4" w:space="0"/>
              <w:bottom w:val="single" w:color="000000" w:sz="4" w:space="0"/>
              <w:right w:val="single" w:color="000000" w:sz="4" w:space="0"/>
            </w:tcBorders>
            <w:vAlign w:val="center"/>
          </w:tcPr>
          <w:p w14:paraId="359DE933">
            <w:pPr>
              <w:spacing w:line="240" w:lineRule="exact"/>
              <w:rPr>
                <w:rFonts w:hint="eastAsia" w:ascii="宋体" w:hAnsi="宋体" w:eastAsia="宋体" w:cs="宋体"/>
                <w:sz w:val="18"/>
                <w:szCs w:val="18"/>
                <w:lang w:eastAsia="zh-CN"/>
              </w:rPr>
            </w:pPr>
            <w:r>
              <w:rPr>
                <w:rFonts w:hint="eastAsia" w:ascii="宋体" w:hAnsi="宋体" w:cs="宋体"/>
                <w:sz w:val="18"/>
                <w:szCs w:val="18"/>
              </w:rPr>
              <w:t>【规章】《因私出入境中介活动管理办法》（2001年6月6日公安部、国家工商行政管理总局）</w:t>
            </w:r>
          </w:p>
          <w:p w14:paraId="7845CFA4">
            <w:pPr>
              <w:spacing w:line="240" w:lineRule="exact"/>
              <w:rPr>
                <w:rFonts w:ascii="宋体" w:hAnsi="宋体" w:cs="宋体"/>
                <w:sz w:val="18"/>
                <w:szCs w:val="18"/>
              </w:rPr>
            </w:pPr>
            <w:r>
              <w:rPr>
                <w:rFonts w:hint="eastAsia" w:ascii="宋体" w:hAnsi="宋体" w:cs="宋体"/>
                <w:sz w:val="18"/>
                <w:szCs w:val="18"/>
              </w:rPr>
              <w:t>第三十四条  对未经批准发布中介活动广告的，由工商行政管理机关责令停止发布，有违法所得的，处以违法所得３倍以下不超过30000元的罚款；没有违法所得的，处以10000元以下的罚款。</w:t>
            </w:r>
          </w:p>
        </w:tc>
        <w:tc>
          <w:tcPr>
            <w:tcW w:w="943" w:type="dxa"/>
            <w:tcBorders>
              <w:top w:val="single" w:color="000000" w:sz="4" w:space="0"/>
              <w:left w:val="single" w:color="000000" w:sz="4" w:space="0"/>
              <w:bottom w:val="single" w:color="000000" w:sz="4" w:space="0"/>
              <w:right w:val="single" w:color="000000" w:sz="4" w:space="0"/>
            </w:tcBorders>
            <w:vAlign w:val="center"/>
          </w:tcPr>
          <w:p w14:paraId="3F75A94A">
            <w:pPr>
              <w:spacing w:line="240" w:lineRule="exact"/>
              <w:jc w:val="center"/>
              <w:rPr>
                <w:rFonts w:ascii="宋体" w:hAnsi="宋体" w:cs="宋体"/>
                <w:sz w:val="18"/>
                <w:szCs w:val="18"/>
              </w:rPr>
            </w:pPr>
            <w:r>
              <w:rPr>
                <w:rFonts w:hint="eastAsia" w:ascii="宋体" w:hAnsi="宋体" w:cs="宋体"/>
                <w:sz w:val="18"/>
                <w:szCs w:val="18"/>
              </w:rPr>
              <w:t>县级市场监管部门</w:t>
            </w:r>
          </w:p>
        </w:tc>
        <w:tc>
          <w:tcPr>
            <w:tcW w:w="977" w:type="dxa"/>
            <w:tcBorders>
              <w:top w:val="single" w:color="000000" w:sz="4" w:space="0"/>
              <w:left w:val="single" w:color="000000" w:sz="4" w:space="0"/>
              <w:bottom w:val="single" w:color="000000" w:sz="4" w:space="0"/>
              <w:right w:val="single" w:color="000000" w:sz="4" w:space="0"/>
            </w:tcBorders>
            <w:vAlign w:val="center"/>
          </w:tcPr>
          <w:p w14:paraId="17973333">
            <w:pPr>
              <w:spacing w:line="240" w:lineRule="exact"/>
              <w:rPr>
                <w:rFonts w:ascii="宋体" w:hAnsi="宋体" w:cs="宋体"/>
                <w:spacing w:val="-6"/>
                <w:sz w:val="18"/>
                <w:szCs w:val="18"/>
              </w:rPr>
            </w:pPr>
            <w:r>
              <w:rPr>
                <w:rFonts w:hint="eastAsia" w:ascii="宋体" w:hAnsi="宋体" w:cs="宋体"/>
                <w:spacing w:val="-6"/>
                <w:sz w:val="18"/>
                <w:szCs w:val="18"/>
              </w:rPr>
              <w:t>取消。因私出入境中介活动广告审批已取消。取消后相关处罚内容按照《中华人民共和国广告法》相关条款实施。</w:t>
            </w:r>
          </w:p>
        </w:tc>
        <w:tc>
          <w:tcPr>
            <w:tcW w:w="981" w:type="dxa"/>
            <w:tcBorders>
              <w:top w:val="single" w:color="000000" w:sz="4" w:space="0"/>
              <w:left w:val="single" w:color="000000" w:sz="4" w:space="0"/>
              <w:bottom w:val="single" w:color="000000" w:sz="4" w:space="0"/>
              <w:right w:val="single" w:color="000000" w:sz="4" w:space="0"/>
            </w:tcBorders>
            <w:vAlign w:val="center"/>
          </w:tcPr>
          <w:p w14:paraId="36E40609">
            <w:pPr>
              <w:spacing w:line="240" w:lineRule="exact"/>
              <w:ind w:firstLine="360" w:firstLineChars="200"/>
              <w:rPr>
                <w:rFonts w:ascii="宋体" w:hAnsi="宋体" w:cs="宋体"/>
                <w:sz w:val="18"/>
                <w:szCs w:val="18"/>
              </w:rPr>
            </w:pPr>
          </w:p>
        </w:tc>
        <w:tc>
          <w:tcPr>
            <w:tcW w:w="636" w:type="dxa"/>
            <w:tcBorders>
              <w:top w:val="single" w:color="000000" w:sz="4" w:space="0"/>
              <w:left w:val="single" w:color="000000" w:sz="4" w:space="0"/>
              <w:bottom w:val="single" w:color="000000" w:sz="4" w:space="0"/>
              <w:right w:val="single" w:color="000000" w:sz="4" w:space="0"/>
            </w:tcBorders>
            <w:vAlign w:val="center"/>
          </w:tcPr>
          <w:p w14:paraId="566D1DF2">
            <w:pPr>
              <w:spacing w:line="240" w:lineRule="exact"/>
              <w:ind w:firstLine="360" w:firstLineChars="200"/>
              <w:rPr>
                <w:rFonts w:ascii="宋体" w:hAnsi="宋体" w:cs="宋体"/>
                <w:sz w:val="18"/>
                <w:szCs w:val="18"/>
              </w:rPr>
            </w:pPr>
          </w:p>
        </w:tc>
      </w:tr>
      <w:tr w14:paraId="65EC1082">
        <w:tblPrEx>
          <w:tblCellMar>
            <w:top w:w="0" w:type="dxa"/>
            <w:left w:w="108" w:type="dxa"/>
            <w:bottom w:w="0" w:type="dxa"/>
            <w:right w:w="108" w:type="dxa"/>
          </w:tblCellMar>
        </w:tblPrEx>
        <w:trPr>
          <w:trHeight w:val="90" w:hRule="atLeast"/>
          <w:jc w:val="center"/>
        </w:trPr>
        <w:tc>
          <w:tcPr>
            <w:tcW w:w="493" w:type="dxa"/>
            <w:tcBorders>
              <w:top w:val="single" w:color="000000" w:sz="4" w:space="0"/>
              <w:left w:val="single" w:color="000000" w:sz="4" w:space="0"/>
              <w:bottom w:val="single" w:color="000000" w:sz="4" w:space="0"/>
              <w:right w:val="single" w:color="000000" w:sz="4" w:space="0"/>
            </w:tcBorders>
            <w:noWrap/>
            <w:vAlign w:val="center"/>
          </w:tcPr>
          <w:p w14:paraId="7796A6BD">
            <w:pPr>
              <w:spacing w:line="240" w:lineRule="exact"/>
              <w:jc w:val="center"/>
              <w:rPr>
                <w:rFonts w:ascii="宋体" w:hAnsi="宋体" w:cs="宋体"/>
                <w:sz w:val="18"/>
                <w:szCs w:val="18"/>
              </w:rPr>
            </w:pPr>
            <w:r>
              <w:rPr>
                <w:rFonts w:hint="eastAsia" w:ascii="宋体" w:hAnsi="宋体" w:cs="宋体"/>
                <w:sz w:val="18"/>
                <w:szCs w:val="18"/>
              </w:rPr>
              <w:t>4</w:t>
            </w:r>
          </w:p>
        </w:tc>
        <w:tc>
          <w:tcPr>
            <w:tcW w:w="1087" w:type="dxa"/>
            <w:tcBorders>
              <w:top w:val="single" w:color="000000" w:sz="4" w:space="0"/>
              <w:left w:val="single" w:color="000000" w:sz="4" w:space="0"/>
              <w:bottom w:val="single" w:color="000000" w:sz="4" w:space="0"/>
              <w:right w:val="single" w:color="000000" w:sz="4" w:space="0"/>
            </w:tcBorders>
            <w:vAlign w:val="center"/>
          </w:tcPr>
          <w:p w14:paraId="15FBF068">
            <w:pPr>
              <w:spacing w:line="240" w:lineRule="exact"/>
              <w:rPr>
                <w:rFonts w:ascii="宋体" w:hAnsi="宋体" w:cs="宋体"/>
                <w:sz w:val="18"/>
                <w:szCs w:val="18"/>
              </w:rPr>
            </w:pPr>
            <w:r>
              <w:rPr>
                <w:rFonts w:hint="eastAsia" w:ascii="宋体" w:hAnsi="宋体" w:cs="宋体"/>
                <w:sz w:val="18"/>
                <w:szCs w:val="18"/>
              </w:rPr>
              <w:t>对违反《中华人民共和国外资企业法》行为的处罚</w:t>
            </w:r>
          </w:p>
        </w:tc>
        <w:tc>
          <w:tcPr>
            <w:tcW w:w="1139" w:type="dxa"/>
            <w:tcBorders>
              <w:top w:val="single" w:color="000000" w:sz="4" w:space="0"/>
              <w:left w:val="single" w:color="000000" w:sz="4" w:space="0"/>
              <w:bottom w:val="single" w:color="000000" w:sz="4" w:space="0"/>
              <w:right w:val="single" w:color="000000" w:sz="4" w:space="0"/>
            </w:tcBorders>
            <w:vAlign w:val="center"/>
          </w:tcPr>
          <w:p w14:paraId="5EC80C3B">
            <w:pPr>
              <w:spacing w:line="240" w:lineRule="exact"/>
              <w:rPr>
                <w:rFonts w:ascii="宋体" w:hAnsi="宋体" w:cs="宋体"/>
                <w:sz w:val="18"/>
                <w:szCs w:val="18"/>
              </w:rPr>
            </w:pPr>
            <w:r>
              <w:rPr>
                <w:rFonts w:hint="eastAsia" w:ascii="宋体" w:hAnsi="宋体" w:cs="宋体"/>
                <w:sz w:val="18"/>
                <w:szCs w:val="18"/>
              </w:rPr>
              <w:t>对外资企业未在审查批准机关核准的期限内在中国境内投资的处罚</w:t>
            </w:r>
          </w:p>
        </w:tc>
        <w:tc>
          <w:tcPr>
            <w:tcW w:w="810" w:type="dxa"/>
            <w:tcBorders>
              <w:top w:val="single" w:color="000000" w:sz="4" w:space="0"/>
              <w:left w:val="single" w:color="000000" w:sz="4" w:space="0"/>
              <w:bottom w:val="single" w:color="000000" w:sz="4" w:space="0"/>
              <w:right w:val="single" w:color="000000" w:sz="4" w:space="0"/>
            </w:tcBorders>
            <w:vAlign w:val="center"/>
          </w:tcPr>
          <w:p w14:paraId="2DBF3510">
            <w:pPr>
              <w:spacing w:line="240" w:lineRule="exact"/>
              <w:jc w:val="center"/>
              <w:rPr>
                <w:rFonts w:ascii="宋体" w:hAnsi="宋体" w:cs="宋体"/>
                <w:sz w:val="18"/>
                <w:szCs w:val="18"/>
              </w:rPr>
            </w:pPr>
            <w:r>
              <w:rPr>
                <w:rFonts w:hint="eastAsia" w:ascii="宋体" w:hAnsi="宋体" w:cs="宋体"/>
                <w:sz w:val="18"/>
                <w:szCs w:val="18"/>
              </w:rPr>
              <w:t>行政处罚</w:t>
            </w:r>
          </w:p>
        </w:tc>
        <w:tc>
          <w:tcPr>
            <w:tcW w:w="3140" w:type="dxa"/>
            <w:tcBorders>
              <w:top w:val="single" w:color="000000" w:sz="4" w:space="0"/>
              <w:left w:val="single" w:color="000000" w:sz="4" w:space="0"/>
              <w:bottom w:val="single" w:color="000000" w:sz="4" w:space="0"/>
              <w:right w:val="single" w:color="000000" w:sz="4" w:space="0"/>
            </w:tcBorders>
            <w:vAlign w:val="center"/>
          </w:tcPr>
          <w:p w14:paraId="7A851318">
            <w:pPr>
              <w:spacing w:line="240" w:lineRule="exact"/>
              <w:rPr>
                <w:rFonts w:hint="eastAsia" w:ascii="宋体" w:hAnsi="宋体" w:eastAsia="宋体" w:cs="宋体"/>
                <w:sz w:val="18"/>
                <w:szCs w:val="18"/>
                <w:lang w:eastAsia="zh-CN"/>
              </w:rPr>
            </w:pPr>
            <w:r>
              <w:rPr>
                <w:rFonts w:hint="eastAsia" w:ascii="宋体" w:hAnsi="宋体" w:cs="宋体"/>
                <w:sz w:val="18"/>
                <w:szCs w:val="18"/>
              </w:rPr>
              <w:t>【法律】《中华人民共和国外资企业法》（2016年9月3日修正）</w:t>
            </w:r>
          </w:p>
          <w:p w14:paraId="037BF544">
            <w:pPr>
              <w:spacing w:line="240" w:lineRule="exact"/>
              <w:rPr>
                <w:rFonts w:ascii="宋体" w:hAnsi="宋体" w:cs="宋体"/>
                <w:sz w:val="18"/>
                <w:szCs w:val="18"/>
              </w:rPr>
            </w:pPr>
            <w:r>
              <w:rPr>
                <w:rFonts w:hint="eastAsia" w:ascii="宋体" w:hAnsi="宋体" w:cs="宋体"/>
                <w:sz w:val="18"/>
                <w:szCs w:val="18"/>
              </w:rPr>
              <w:t>第九条  外资企业应当在审查批准机关核准的期限内在中国境内投资；逾期不投资的，工商行政管理机关有权吊销营业执照。</w:t>
            </w:r>
          </w:p>
        </w:tc>
        <w:tc>
          <w:tcPr>
            <w:tcW w:w="943" w:type="dxa"/>
            <w:tcBorders>
              <w:top w:val="single" w:color="000000" w:sz="4" w:space="0"/>
              <w:left w:val="single" w:color="000000" w:sz="4" w:space="0"/>
              <w:bottom w:val="single" w:color="000000" w:sz="4" w:space="0"/>
              <w:right w:val="single" w:color="000000" w:sz="4" w:space="0"/>
            </w:tcBorders>
            <w:vAlign w:val="center"/>
          </w:tcPr>
          <w:p w14:paraId="3C5FDBBF">
            <w:pPr>
              <w:spacing w:line="240" w:lineRule="exact"/>
              <w:jc w:val="center"/>
              <w:rPr>
                <w:rFonts w:ascii="宋体" w:hAnsi="宋体" w:cs="宋体"/>
                <w:sz w:val="18"/>
                <w:szCs w:val="18"/>
              </w:rPr>
            </w:pPr>
            <w:r>
              <w:rPr>
                <w:rFonts w:hint="eastAsia" w:ascii="宋体" w:hAnsi="宋体" w:cs="宋体"/>
                <w:sz w:val="18"/>
                <w:szCs w:val="18"/>
              </w:rPr>
              <w:t>县级市场监管部门</w:t>
            </w:r>
          </w:p>
        </w:tc>
        <w:tc>
          <w:tcPr>
            <w:tcW w:w="977" w:type="dxa"/>
            <w:tcBorders>
              <w:top w:val="single" w:color="000000" w:sz="4" w:space="0"/>
              <w:left w:val="single" w:color="000000" w:sz="4" w:space="0"/>
              <w:bottom w:val="single" w:color="000000" w:sz="4" w:space="0"/>
              <w:right w:val="single" w:color="000000" w:sz="4" w:space="0"/>
            </w:tcBorders>
            <w:vAlign w:val="center"/>
          </w:tcPr>
          <w:p w14:paraId="7AAAB226">
            <w:pPr>
              <w:spacing w:line="240" w:lineRule="exact"/>
              <w:rPr>
                <w:rFonts w:ascii="宋体" w:hAnsi="宋体" w:cs="宋体"/>
                <w:spacing w:val="-6"/>
                <w:sz w:val="18"/>
                <w:szCs w:val="18"/>
              </w:rPr>
            </w:pPr>
            <w:r>
              <w:rPr>
                <w:rFonts w:hint="eastAsia" w:ascii="宋体" w:hAnsi="宋体" w:cs="宋体"/>
                <w:spacing w:val="-6"/>
                <w:sz w:val="18"/>
                <w:szCs w:val="18"/>
              </w:rPr>
              <w:t>取消。实行外商投资企业投资信息年度报告制度，通过信息公示、社会监督等信用监管方式引导外商投资企业依法合规经营。</w:t>
            </w:r>
          </w:p>
        </w:tc>
        <w:tc>
          <w:tcPr>
            <w:tcW w:w="981" w:type="dxa"/>
            <w:tcBorders>
              <w:top w:val="single" w:color="000000" w:sz="4" w:space="0"/>
              <w:left w:val="single" w:color="000000" w:sz="4" w:space="0"/>
              <w:bottom w:val="single" w:color="000000" w:sz="4" w:space="0"/>
              <w:right w:val="single" w:color="000000" w:sz="4" w:space="0"/>
            </w:tcBorders>
            <w:vAlign w:val="center"/>
          </w:tcPr>
          <w:p w14:paraId="5AA587C1">
            <w:pPr>
              <w:spacing w:line="240" w:lineRule="exact"/>
              <w:ind w:firstLine="360" w:firstLineChars="200"/>
              <w:rPr>
                <w:rFonts w:ascii="宋体" w:hAnsi="宋体" w:cs="宋体"/>
                <w:sz w:val="18"/>
                <w:szCs w:val="18"/>
              </w:rPr>
            </w:pPr>
          </w:p>
        </w:tc>
        <w:tc>
          <w:tcPr>
            <w:tcW w:w="636" w:type="dxa"/>
            <w:tcBorders>
              <w:top w:val="single" w:color="000000" w:sz="4" w:space="0"/>
              <w:left w:val="single" w:color="000000" w:sz="4" w:space="0"/>
              <w:bottom w:val="single" w:color="000000" w:sz="4" w:space="0"/>
              <w:right w:val="single" w:color="000000" w:sz="4" w:space="0"/>
            </w:tcBorders>
            <w:vAlign w:val="center"/>
          </w:tcPr>
          <w:p w14:paraId="563A6015">
            <w:pPr>
              <w:spacing w:line="240" w:lineRule="exact"/>
              <w:ind w:firstLine="360" w:firstLineChars="200"/>
              <w:rPr>
                <w:rFonts w:ascii="宋体" w:hAnsi="宋体" w:cs="宋体"/>
                <w:sz w:val="18"/>
                <w:szCs w:val="18"/>
              </w:rPr>
            </w:pPr>
          </w:p>
        </w:tc>
      </w:tr>
      <w:tr w14:paraId="412F161F">
        <w:tblPrEx>
          <w:tblCellMar>
            <w:top w:w="0" w:type="dxa"/>
            <w:left w:w="108" w:type="dxa"/>
            <w:bottom w:w="0" w:type="dxa"/>
            <w:right w:w="108" w:type="dxa"/>
          </w:tblCellMar>
        </w:tblPrEx>
        <w:trPr>
          <w:trHeight w:val="8210" w:hRule="atLeast"/>
          <w:jc w:val="center"/>
        </w:trPr>
        <w:tc>
          <w:tcPr>
            <w:tcW w:w="493" w:type="dxa"/>
            <w:tcBorders>
              <w:top w:val="single" w:color="000000" w:sz="4" w:space="0"/>
              <w:left w:val="single" w:color="000000" w:sz="4" w:space="0"/>
              <w:bottom w:val="single" w:color="000000" w:sz="4" w:space="0"/>
              <w:right w:val="single" w:color="000000" w:sz="4" w:space="0"/>
            </w:tcBorders>
            <w:noWrap/>
            <w:vAlign w:val="center"/>
          </w:tcPr>
          <w:p w14:paraId="2EFA1599">
            <w:pPr>
              <w:spacing w:line="240" w:lineRule="exact"/>
              <w:jc w:val="center"/>
              <w:rPr>
                <w:rFonts w:ascii="宋体" w:hAnsi="宋体" w:cs="宋体"/>
                <w:sz w:val="18"/>
                <w:szCs w:val="18"/>
              </w:rPr>
            </w:pPr>
            <w:r>
              <w:rPr>
                <w:rFonts w:hint="eastAsia" w:ascii="宋体" w:hAnsi="宋体" w:cs="宋体"/>
                <w:sz w:val="18"/>
                <w:szCs w:val="18"/>
              </w:rPr>
              <w:t>5</w:t>
            </w:r>
          </w:p>
        </w:tc>
        <w:tc>
          <w:tcPr>
            <w:tcW w:w="1087" w:type="dxa"/>
            <w:tcBorders>
              <w:top w:val="single" w:color="000000" w:sz="4" w:space="0"/>
              <w:left w:val="single" w:color="000000" w:sz="4" w:space="0"/>
              <w:bottom w:val="single" w:color="000000" w:sz="4" w:space="0"/>
              <w:right w:val="single" w:color="000000" w:sz="4" w:space="0"/>
            </w:tcBorders>
            <w:vAlign w:val="center"/>
          </w:tcPr>
          <w:p w14:paraId="00B04493">
            <w:pPr>
              <w:spacing w:line="240" w:lineRule="exact"/>
              <w:rPr>
                <w:rFonts w:ascii="宋体" w:hAnsi="宋体" w:cs="宋体"/>
                <w:sz w:val="18"/>
                <w:szCs w:val="18"/>
              </w:rPr>
            </w:pPr>
            <w:r>
              <w:rPr>
                <w:rFonts w:hint="eastAsia" w:ascii="宋体" w:hAnsi="宋体" w:cs="宋体"/>
                <w:sz w:val="18"/>
                <w:szCs w:val="18"/>
              </w:rPr>
              <w:t>对违反《医疗保障基金使用监督管理条例》的处罚</w:t>
            </w:r>
          </w:p>
        </w:tc>
        <w:tc>
          <w:tcPr>
            <w:tcW w:w="1139" w:type="dxa"/>
            <w:tcBorders>
              <w:top w:val="single" w:color="000000" w:sz="4" w:space="0"/>
              <w:left w:val="single" w:color="000000" w:sz="4" w:space="0"/>
              <w:bottom w:val="single" w:color="000000" w:sz="4" w:space="0"/>
              <w:right w:val="single" w:color="000000" w:sz="4" w:space="0"/>
            </w:tcBorders>
            <w:vAlign w:val="center"/>
          </w:tcPr>
          <w:p w14:paraId="306AE1A1">
            <w:pPr>
              <w:spacing w:line="240" w:lineRule="exact"/>
              <w:rPr>
                <w:rFonts w:ascii="宋体" w:hAnsi="宋体" w:cs="宋体"/>
                <w:sz w:val="18"/>
                <w:szCs w:val="18"/>
              </w:rPr>
            </w:pPr>
            <w:r>
              <w:rPr>
                <w:rFonts w:hint="eastAsia" w:ascii="宋体" w:hAnsi="宋体" w:cs="宋体"/>
                <w:sz w:val="18"/>
                <w:szCs w:val="18"/>
              </w:rPr>
              <w:t>1.对造成医疗保障基金损失的处罚</w:t>
            </w:r>
          </w:p>
        </w:tc>
        <w:tc>
          <w:tcPr>
            <w:tcW w:w="810" w:type="dxa"/>
            <w:tcBorders>
              <w:top w:val="single" w:color="000000" w:sz="4" w:space="0"/>
              <w:left w:val="single" w:color="000000" w:sz="4" w:space="0"/>
              <w:bottom w:val="single" w:color="000000" w:sz="4" w:space="0"/>
              <w:right w:val="single" w:color="000000" w:sz="4" w:space="0"/>
            </w:tcBorders>
            <w:vAlign w:val="center"/>
          </w:tcPr>
          <w:p w14:paraId="06DF871C">
            <w:pPr>
              <w:spacing w:line="240" w:lineRule="exact"/>
              <w:jc w:val="center"/>
              <w:rPr>
                <w:rFonts w:ascii="宋体" w:hAnsi="宋体" w:cs="宋体"/>
                <w:sz w:val="18"/>
                <w:szCs w:val="18"/>
              </w:rPr>
            </w:pPr>
            <w:r>
              <w:rPr>
                <w:rFonts w:hint="eastAsia" w:ascii="宋体" w:hAnsi="宋体" w:cs="宋体"/>
                <w:sz w:val="18"/>
                <w:szCs w:val="18"/>
              </w:rPr>
              <w:t>行政处罚</w:t>
            </w:r>
          </w:p>
        </w:tc>
        <w:tc>
          <w:tcPr>
            <w:tcW w:w="3140" w:type="dxa"/>
            <w:tcBorders>
              <w:top w:val="single" w:color="000000" w:sz="4" w:space="0"/>
              <w:left w:val="single" w:color="000000" w:sz="4" w:space="0"/>
              <w:bottom w:val="single" w:color="000000" w:sz="4" w:space="0"/>
              <w:right w:val="single" w:color="000000" w:sz="4" w:space="0"/>
            </w:tcBorders>
            <w:vAlign w:val="center"/>
          </w:tcPr>
          <w:p w14:paraId="2BA7C39D">
            <w:pPr>
              <w:spacing w:line="240" w:lineRule="exact"/>
              <w:rPr>
                <w:rFonts w:hint="eastAsia" w:ascii="宋体" w:hAnsi="宋体" w:eastAsia="宋体" w:cs="宋体"/>
                <w:sz w:val="18"/>
                <w:szCs w:val="18"/>
                <w:lang w:eastAsia="zh-CN"/>
              </w:rPr>
            </w:pPr>
            <w:r>
              <w:rPr>
                <w:rFonts w:hint="eastAsia" w:ascii="宋体" w:hAnsi="宋体" w:cs="宋体"/>
                <w:sz w:val="18"/>
                <w:szCs w:val="18"/>
              </w:rPr>
              <w:t>【法规】 《医疗保障基金使用监督管理条例》（2020年中华人民共和国国务院令第735号）</w:t>
            </w:r>
          </w:p>
          <w:p w14:paraId="2DD16E06">
            <w:pPr>
              <w:spacing w:line="240" w:lineRule="exact"/>
              <w:rPr>
                <w:rFonts w:hint="eastAsia" w:ascii="宋体" w:hAnsi="宋体" w:eastAsia="宋体" w:cs="宋体"/>
                <w:sz w:val="18"/>
                <w:szCs w:val="18"/>
                <w:lang w:eastAsia="zh-CN"/>
              </w:rPr>
            </w:pPr>
            <w:r>
              <w:rPr>
                <w:rFonts w:hint="eastAsia" w:ascii="宋体" w:hAnsi="宋体" w:cs="宋体"/>
                <w:sz w:val="18"/>
                <w:szCs w:val="18"/>
              </w:rPr>
              <w:t>第三十八条　定点医药机构有下列情形之一的，由医疗保障行政部门责令改正，并可以约谈有关负责人；造成医疗保障基金损失的，责令退回，处造成损失金额1倍以上2倍以下的罚款；拒不改正或者造成严重后果的，责令定点医药机构暂停相关责任部门6个月以上1年以下涉及医疗保障基金使用的医药服务；违反其他法律、行政法规的，由有关主管部门依法处理：</w:t>
            </w:r>
          </w:p>
          <w:p w14:paraId="031E27D5">
            <w:pPr>
              <w:spacing w:line="240" w:lineRule="exact"/>
              <w:rPr>
                <w:rFonts w:hint="eastAsia" w:ascii="宋体" w:hAnsi="宋体" w:eastAsia="宋体" w:cs="宋体"/>
                <w:sz w:val="18"/>
                <w:szCs w:val="18"/>
                <w:lang w:eastAsia="zh-CN"/>
              </w:rPr>
            </w:pPr>
            <w:r>
              <w:rPr>
                <w:rFonts w:hint="eastAsia" w:ascii="宋体" w:hAnsi="宋体" w:cs="宋体"/>
                <w:sz w:val="18"/>
                <w:szCs w:val="18"/>
              </w:rPr>
              <w:t>　　（一）分解住院、挂床住院；</w:t>
            </w:r>
          </w:p>
          <w:p w14:paraId="309AEB6E">
            <w:pPr>
              <w:spacing w:line="240" w:lineRule="exact"/>
              <w:rPr>
                <w:rFonts w:hint="eastAsia" w:ascii="宋体" w:hAnsi="宋体" w:eastAsia="宋体" w:cs="宋体"/>
                <w:spacing w:val="-6"/>
                <w:sz w:val="18"/>
                <w:szCs w:val="18"/>
                <w:lang w:eastAsia="zh-CN"/>
              </w:rPr>
            </w:pPr>
            <w:r>
              <w:rPr>
                <w:rFonts w:hint="eastAsia" w:ascii="宋体" w:hAnsi="宋体" w:cs="宋体"/>
                <w:sz w:val="18"/>
                <w:szCs w:val="18"/>
              </w:rPr>
              <w:t>　　</w:t>
            </w:r>
            <w:r>
              <w:rPr>
                <w:rFonts w:hint="eastAsia" w:ascii="宋体" w:hAnsi="宋体" w:cs="宋体"/>
                <w:spacing w:val="-6"/>
                <w:sz w:val="18"/>
                <w:szCs w:val="18"/>
              </w:rPr>
              <w:t>（二）违反诊疗规范过度诊疗、过度检查、分解处方、超量开药、重复开药或者提供其他不必要的医药服务；</w:t>
            </w:r>
          </w:p>
          <w:p w14:paraId="09372550">
            <w:pPr>
              <w:spacing w:line="240" w:lineRule="exact"/>
              <w:rPr>
                <w:rFonts w:hint="eastAsia" w:ascii="宋体" w:hAnsi="宋体" w:eastAsia="宋体" w:cs="宋体"/>
                <w:sz w:val="18"/>
                <w:szCs w:val="18"/>
                <w:lang w:eastAsia="zh-CN"/>
              </w:rPr>
            </w:pPr>
            <w:r>
              <w:rPr>
                <w:rFonts w:hint="eastAsia" w:ascii="宋体" w:hAnsi="宋体" w:cs="宋体"/>
                <w:sz w:val="18"/>
                <w:szCs w:val="18"/>
              </w:rPr>
              <w:t>　　（三）重复收费、超标准收费、分解项目收费；</w:t>
            </w:r>
          </w:p>
          <w:p w14:paraId="79127715">
            <w:pPr>
              <w:spacing w:line="240" w:lineRule="exact"/>
              <w:rPr>
                <w:rFonts w:hint="eastAsia" w:ascii="宋体" w:hAnsi="宋体" w:eastAsia="宋体" w:cs="宋体"/>
                <w:sz w:val="18"/>
                <w:szCs w:val="18"/>
                <w:lang w:eastAsia="zh-CN"/>
              </w:rPr>
            </w:pPr>
            <w:r>
              <w:rPr>
                <w:rFonts w:hint="eastAsia" w:ascii="宋体" w:hAnsi="宋体" w:cs="宋体"/>
                <w:sz w:val="18"/>
                <w:szCs w:val="18"/>
              </w:rPr>
              <w:t>　　（四）串换药品、医用耗材、诊疗项目和服务设施；</w:t>
            </w:r>
          </w:p>
          <w:p w14:paraId="6390A496">
            <w:pPr>
              <w:spacing w:line="240" w:lineRule="exact"/>
              <w:rPr>
                <w:rFonts w:hint="eastAsia" w:ascii="宋体" w:hAnsi="宋体" w:eastAsia="宋体" w:cs="宋体"/>
                <w:spacing w:val="-6"/>
                <w:sz w:val="18"/>
                <w:szCs w:val="18"/>
                <w:lang w:eastAsia="zh-CN"/>
              </w:rPr>
            </w:pPr>
            <w:r>
              <w:rPr>
                <w:rFonts w:hint="eastAsia" w:ascii="宋体" w:hAnsi="宋体" w:cs="宋体"/>
                <w:sz w:val="18"/>
                <w:szCs w:val="18"/>
              </w:rPr>
              <w:t>　　</w:t>
            </w:r>
            <w:r>
              <w:rPr>
                <w:rFonts w:hint="eastAsia" w:ascii="宋体" w:hAnsi="宋体" w:cs="宋体"/>
                <w:spacing w:val="-6"/>
                <w:sz w:val="18"/>
                <w:szCs w:val="18"/>
              </w:rPr>
              <w:t>（五）为参保人员利用其享受医疗保障待遇的机会转卖药品，接受返还现金、实物或者获得其他非法利益提供便利；</w:t>
            </w:r>
          </w:p>
          <w:p w14:paraId="5324AF4E">
            <w:pPr>
              <w:spacing w:line="240" w:lineRule="exact"/>
              <w:rPr>
                <w:rFonts w:hint="eastAsia" w:ascii="宋体" w:hAnsi="宋体" w:eastAsia="宋体" w:cs="宋体"/>
                <w:sz w:val="18"/>
                <w:szCs w:val="18"/>
                <w:lang w:eastAsia="zh-CN"/>
              </w:rPr>
            </w:pPr>
            <w:r>
              <w:rPr>
                <w:rFonts w:hint="eastAsia" w:ascii="宋体" w:hAnsi="宋体" w:cs="宋体"/>
                <w:sz w:val="18"/>
                <w:szCs w:val="18"/>
              </w:rPr>
              <w:t>　　（六）将不属于医疗保障基金支付范围的医药费用纳入医疗保障基金结算；</w:t>
            </w:r>
          </w:p>
          <w:p w14:paraId="78F2802A">
            <w:pPr>
              <w:spacing w:line="240" w:lineRule="exact"/>
              <w:rPr>
                <w:rFonts w:hint="eastAsia" w:ascii="宋体" w:hAnsi="宋体" w:eastAsia="宋体" w:cs="宋体"/>
                <w:spacing w:val="-6"/>
                <w:sz w:val="18"/>
                <w:szCs w:val="18"/>
                <w:lang w:eastAsia="zh-CN"/>
              </w:rPr>
            </w:pPr>
            <w:r>
              <w:rPr>
                <w:rFonts w:hint="eastAsia" w:ascii="宋体" w:hAnsi="宋体" w:cs="宋体"/>
                <w:sz w:val="18"/>
                <w:szCs w:val="18"/>
              </w:rPr>
              <w:t>　　</w:t>
            </w:r>
            <w:r>
              <w:rPr>
                <w:rFonts w:hint="eastAsia" w:ascii="宋体" w:hAnsi="宋体" w:cs="宋体"/>
                <w:spacing w:val="-6"/>
                <w:sz w:val="18"/>
                <w:szCs w:val="18"/>
              </w:rPr>
              <w:t xml:space="preserve">（七）造成医疗保障基金损失的其他违法行为。   </w:t>
            </w:r>
          </w:p>
          <w:p w14:paraId="0E1528D3">
            <w:pPr>
              <w:spacing w:line="240" w:lineRule="exact"/>
              <w:rPr>
                <w:rFonts w:hint="eastAsia" w:ascii="宋体" w:hAnsi="宋体" w:eastAsia="宋体" w:cs="宋体"/>
                <w:spacing w:val="-6"/>
                <w:sz w:val="18"/>
                <w:szCs w:val="18"/>
                <w:lang w:eastAsia="zh-CN"/>
              </w:rPr>
            </w:pPr>
            <w:r>
              <w:rPr>
                <w:rFonts w:hint="eastAsia" w:ascii="宋体" w:hAnsi="宋体" w:cs="宋体"/>
                <w:spacing w:val="-6"/>
                <w:sz w:val="18"/>
                <w:szCs w:val="18"/>
              </w:rPr>
              <w:t>第四十一条　个人有下列情形之一的，由医疗保障行政部门责令改正；造成医疗保障基金损失的，责令退回；属于参保人员的，暂停其医疗费用联网结算3个月至12个月：</w:t>
            </w:r>
          </w:p>
          <w:p w14:paraId="110A592C">
            <w:pPr>
              <w:spacing w:line="240" w:lineRule="exact"/>
              <w:rPr>
                <w:rFonts w:hint="eastAsia" w:ascii="宋体" w:hAnsi="宋体" w:eastAsia="宋体" w:cs="宋体"/>
                <w:sz w:val="18"/>
                <w:szCs w:val="18"/>
                <w:lang w:eastAsia="zh-CN"/>
              </w:rPr>
            </w:pPr>
            <w:r>
              <w:rPr>
                <w:rFonts w:hint="eastAsia" w:ascii="宋体" w:hAnsi="宋体" w:cs="宋体"/>
                <w:sz w:val="18"/>
                <w:szCs w:val="18"/>
              </w:rPr>
              <w:t>　　（一）将本人的医疗保障凭证交由他人冒名使用；</w:t>
            </w:r>
          </w:p>
          <w:p w14:paraId="19145890">
            <w:pPr>
              <w:spacing w:line="240" w:lineRule="exact"/>
              <w:rPr>
                <w:rFonts w:hint="eastAsia" w:ascii="宋体" w:hAnsi="宋体" w:eastAsia="宋体" w:cs="宋体"/>
                <w:sz w:val="18"/>
                <w:szCs w:val="18"/>
                <w:lang w:eastAsia="zh-CN"/>
              </w:rPr>
            </w:pPr>
            <w:r>
              <w:rPr>
                <w:rFonts w:hint="eastAsia" w:ascii="宋体" w:hAnsi="宋体" w:cs="宋体"/>
                <w:sz w:val="18"/>
                <w:szCs w:val="18"/>
              </w:rPr>
              <w:t>　　（二）重复享受医疗保障待遇；</w:t>
            </w:r>
          </w:p>
          <w:p w14:paraId="5E788748">
            <w:pPr>
              <w:spacing w:line="240" w:lineRule="exact"/>
              <w:rPr>
                <w:rFonts w:ascii="宋体" w:hAnsi="宋体" w:cs="宋体"/>
                <w:sz w:val="18"/>
                <w:szCs w:val="18"/>
              </w:rPr>
            </w:pPr>
            <w:r>
              <w:rPr>
                <w:rFonts w:hint="eastAsia" w:ascii="宋体" w:hAnsi="宋体" w:cs="宋体"/>
                <w:sz w:val="18"/>
                <w:szCs w:val="18"/>
              </w:rPr>
              <w:t>　　（三）利用享受医疗保障待遇的机会转卖药品，接受返还现金、实物或者获得其他非法利益。</w:t>
            </w:r>
          </w:p>
        </w:tc>
        <w:tc>
          <w:tcPr>
            <w:tcW w:w="943" w:type="dxa"/>
            <w:tcBorders>
              <w:top w:val="single" w:color="000000" w:sz="4" w:space="0"/>
              <w:left w:val="single" w:color="000000" w:sz="4" w:space="0"/>
              <w:bottom w:val="single" w:color="000000" w:sz="4" w:space="0"/>
              <w:right w:val="single" w:color="000000" w:sz="4" w:space="0"/>
            </w:tcBorders>
            <w:vAlign w:val="center"/>
          </w:tcPr>
          <w:p w14:paraId="25B28EAE">
            <w:pPr>
              <w:spacing w:line="240" w:lineRule="exact"/>
              <w:jc w:val="center"/>
              <w:rPr>
                <w:rFonts w:ascii="宋体" w:hAnsi="宋体" w:cs="宋体"/>
                <w:sz w:val="18"/>
                <w:szCs w:val="18"/>
              </w:rPr>
            </w:pPr>
            <w:r>
              <w:rPr>
                <w:rFonts w:hint="eastAsia" w:ascii="宋体" w:hAnsi="宋体" w:cs="宋体"/>
                <w:sz w:val="18"/>
                <w:szCs w:val="18"/>
              </w:rPr>
              <w:t>县级医疗保障部门</w:t>
            </w:r>
          </w:p>
        </w:tc>
        <w:tc>
          <w:tcPr>
            <w:tcW w:w="977" w:type="dxa"/>
            <w:tcBorders>
              <w:top w:val="single" w:color="000000" w:sz="4" w:space="0"/>
              <w:left w:val="single" w:color="000000" w:sz="4" w:space="0"/>
              <w:bottom w:val="single" w:color="000000" w:sz="4" w:space="0"/>
              <w:right w:val="single" w:color="000000" w:sz="4" w:space="0"/>
            </w:tcBorders>
            <w:vAlign w:val="center"/>
          </w:tcPr>
          <w:p w14:paraId="050D8F72">
            <w:pPr>
              <w:spacing w:line="240" w:lineRule="exact"/>
              <w:jc w:val="center"/>
              <w:rPr>
                <w:rFonts w:ascii="宋体" w:hAnsi="宋体" w:cs="宋体"/>
                <w:sz w:val="18"/>
                <w:szCs w:val="18"/>
              </w:rPr>
            </w:pPr>
            <w:r>
              <w:rPr>
                <w:rFonts w:hint="eastAsia" w:ascii="宋体" w:hAnsi="宋体" w:cs="宋体"/>
                <w:sz w:val="18"/>
                <w:szCs w:val="18"/>
              </w:rPr>
              <w:t>新增加</w:t>
            </w:r>
          </w:p>
        </w:tc>
        <w:tc>
          <w:tcPr>
            <w:tcW w:w="981" w:type="dxa"/>
            <w:tcBorders>
              <w:top w:val="single" w:color="000000" w:sz="4" w:space="0"/>
              <w:left w:val="single" w:color="000000" w:sz="4" w:space="0"/>
              <w:bottom w:val="single" w:color="000000" w:sz="4" w:space="0"/>
              <w:right w:val="single" w:color="000000" w:sz="4" w:space="0"/>
            </w:tcBorders>
            <w:vAlign w:val="center"/>
          </w:tcPr>
          <w:p w14:paraId="04B29D4E">
            <w:pPr>
              <w:spacing w:line="240" w:lineRule="exact"/>
              <w:ind w:firstLine="360" w:firstLineChars="200"/>
              <w:rPr>
                <w:rFonts w:ascii="宋体" w:hAnsi="宋体" w:cs="宋体"/>
                <w:sz w:val="18"/>
                <w:szCs w:val="18"/>
              </w:rPr>
            </w:pPr>
          </w:p>
        </w:tc>
        <w:tc>
          <w:tcPr>
            <w:tcW w:w="636" w:type="dxa"/>
            <w:tcBorders>
              <w:top w:val="single" w:color="000000" w:sz="4" w:space="0"/>
              <w:left w:val="single" w:color="000000" w:sz="4" w:space="0"/>
              <w:bottom w:val="single" w:color="000000" w:sz="4" w:space="0"/>
              <w:right w:val="single" w:color="000000" w:sz="4" w:space="0"/>
            </w:tcBorders>
            <w:noWrap/>
            <w:vAlign w:val="center"/>
          </w:tcPr>
          <w:p w14:paraId="3E896F53">
            <w:pPr>
              <w:spacing w:line="240" w:lineRule="exact"/>
              <w:ind w:firstLine="360" w:firstLineChars="200"/>
              <w:rPr>
                <w:rFonts w:ascii="宋体" w:hAnsi="宋体" w:cs="宋体"/>
                <w:sz w:val="18"/>
                <w:szCs w:val="18"/>
              </w:rPr>
            </w:pPr>
          </w:p>
        </w:tc>
      </w:tr>
      <w:tr w14:paraId="004E4C25">
        <w:tblPrEx>
          <w:tblCellMar>
            <w:top w:w="0" w:type="dxa"/>
            <w:left w:w="108" w:type="dxa"/>
            <w:bottom w:w="0" w:type="dxa"/>
            <w:right w:w="108" w:type="dxa"/>
          </w:tblCellMar>
        </w:tblPrEx>
        <w:trPr>
          <w:trHeight w:val="8560" w:hRule="atLeast"/>
          <w:jc w:val="center"/>
        </w:trPr>
        <w:tc>
          <w:tcPr>
            <w:tcW w:w="493" w:type="dxa"/>
            <w:tcBorders>
              <w:top w:val="single" w:color="000000" w:sz="4" w:space="0"/>
              <w:left w:val="single" w:color="000000" w:sz="4" w:space="0"/>
              <w:bottom w:val="single" w:color="000000" w:sz="4" w:space="0"/>
              <w:right w:val="single" w:color="000000" w:sz="4" w:space="0"/>
            </w:tcBorders>
            <w:noWrap/>
            <w:vAlign w:val="center"/>
          </w:tcPr>
          <w:p w14:paraId="1BA82228">
            <w:pPr>
              <w:spacing w:line="240" w:lineRule="exact"/>
              <w:jc w:val="center"/>
              <w:rPr>
                <w:rFonts w:ascii="宋体" w:hAnsi="宋体" w:cs="宋体"/>
                <w:sz w:val="18"/>
                <w:szCs w:val="18"/>
              </w:rPr>
            </w:pPr>
            <w:r>
              <w:rPr>
                <w:rFonts w:hint="eastAsia" w:ascii="宋体" w:hAnsi="宋体" w:cs="宋体"/>
                <w:sz w:val="18"/>
                <w:szCs w:val="18"/>
              </w:rPr>
              <w:t>5</w:t>
            </w:r>
          </w:p>
        </w:tc>
        <w:tc>
          <w:tcPr>
            <w:tcW w:w="1087" w:type="dxa"/>
            <w:tcBorders>
              <w:top w:val="single" w:color="000000" w:sz="4" w:space="0"/>
              <w:left w:val="single" w:color="000000" w:sz="4" w:space="0"/>
              <w:bottom w:val="single" w:color="000000" w:sz="4" w:space="0"/>
              <w:right w:val="single" w:color="000000" w:sz="4" w:space="0"/>
            </w:tcBorders>
            <w:vAlign w:val="center"/>
          </w:tcPr>
          <w:p w14:paraId="0D316366">
            <w:pPr>
              <w:spacing w:line="240" w:lineRule="exact"/>
              <w:rPr>
                <w:rFonts w:ascii="宋体" w:hAnsi="宋体" w:cs="宋体"/>
                <w:sz w:val="18"/>
                <w:szCs w:val="18"/>
              </w:rPr>
            </w:pPr>
            <w:r>
              <w:rPr>
                <w:rFonts w:hint="eastAsia" w:ascii="宋体" w:hAnsi="宋体" w:cs="宋体"/>
                <w:sz w:val="18"/>
                <w:szCs w:val="18"/>
              </w:rPr>
              <w:t>对违反《医疗保障基金使用监督管理条例》的处罚</w:t>
            </w:r>
          </w:p>
        </w:tc>
        <w:tc>
          <w:tcPr>
            <w:tcW w:w="1139" w:type="dxa"/>
            <w:tcBorders>
              <w:top w:val="single" w:color="000000" w:sz="4" w:space="0"/>
              <w:left w:val="single" w:color="000000" w:sz="4" w:space="0"/>
              <w:bottom w:val="single" w:color="000000" w:sz="4" w:space="0"/>
              <w:right w:val="single" w:color="000000" w:sz="4" w:space="0"/>
            </w:tcBorders>
            <w:vAlign w:val="center"/>
          </w:tcPr>
          <w:p w14:paraId="553363BF">
            <w:pPr>
              <w:spacing w:line="240" w:lineRule="exact"/>
              <w:rPr>
                <w:rFonts w:ascii="宋体" w:hAnsi="宋体" w:cs="宋体"/>
                <w:sz w:val="18"/>
                <w:szCs w:val="18"/>
              </w:rPr>
            </w:pPr>
            <w:r>
              <w:rPr>
                <w:rFonts w:hint="eastAsia" w:ascii="宋体" w:hAnsi="宋体" w:cs="宋体"/>
                <w:sz w:val="18"/>
                <w:szCs w:val="18"/>
              </w:rPr>
              <w:t>2.对定点医药机构未按规定进行管理和不配合检查等的处罚</w:t>
            </w:r>
          </w:p>
        </w:tc>
        <w:tc>
          <w:tcPr>
            <w:tcW w:w="810" w:type="dxa"/>
            <w:tcBorders>
              <w:top w:val="single" w:color="000000" w:sz="4" w:space="0"/>
              <w:left w:val="single" w:color="000000" w:sz="4" w:space="0"/>
              <w:bottom w:val="single" w:color="000000" w:sz="4" w:space="0"/>
              <w:right w:val="single" w:color="000000" w:sz="4" w:space="0"/>
            </w:tcBorders>
            <w:vAlign w:val="center"/>
          </w:tcPr>
          <w:p w14:paraId="3A38274F">
            <w:pPr>
              <w:spacing w:line="240" w:lineRule="exact"/>
              <w:jc w:val="center"/>
              <w:rPr>
                <w:rFonts w:ascii="宋体" w:hAnsi="宋体" w:cs="宋体"/>
                <w:sz w:val="18"/>
                <w:szCs w:val="18"/>
              </w:rPr>
            </w:pPr>
            <w:r>
              <w:rPr>
                <w:rFonts w:hint="eastAsia" w:ascii="宋体" w:hAnsi="宋体" w:cs="宋体"/>
                <w:sz w:val="18"/>
                <w:szCs w:val="18"/>
              </w:rPr>
              <w:t>行政处罚</w:t>
            </w:r>
          </w:p>
        </w:tc>
        <w:tc>
          <w:tcPr>
            <w:tcW w:w="3140" w:type="dxa"/>
            <w:tcBorders>
              <w:top w:val="single" w:color="000000" w:sz="4" w:space="0"/>
              <w:left w:val="single" w:color="000000" w:sz="4" w:space="0"/>
              <w:bottom w:val="single" w:color="000000" w:sz="4" w:space="0"/>
              <w:right w:val="single" w:color="000000" w:sz="4" w:space="0"/>
            </w:tcBorders>
            <w:vAlign w:val="center"/>
          </w:tcPr>
          <w:p w14:paraId="4B206029">
            <w:pPr>
              <w:spacing w:line="240" w:lineRule="exact"/>
              <w:rPr>
                <w:rFonts w:hint="eastAsia" w:ascii="宋体" w:hAnsi="宋体" w:eastAsia="宋体" w:cs="宋体"/>
                <w:sz w:val="18"/>
                <w:szCs w:val="18"/>
                <w:lang w:eastAsia="zh-CN"/>
              </w:rPr>
            </w:pPr>
            <w:r>
              <w:rPr>
                <w:rFonts w:hint="eastAsia" w:ascii="宋体" w:hAnsi="宋体" w:cs="宋体"/>
                <w:sz w:val="18"/>
                <w:szCs w:val="18"/>
              </w:rPr>
              <w:t>【法规】 《医疗保障基金使用监督管理条例》（2020年中华人民共和国国务院令第735号）第三十九条　定点医药机构有下列情形之一的，由医疗保障行政部门责令改正，并可以约谈有关负责人；拒不改正的，处1万元以上5万元以下的罚款；违反其他法律、行政法规的，由有关主管部门依法处理：</w:t>
            </w:r>
          </w:p>
          <w:p w14:paraId="711D613C">
            <w:pPr>
              <w:spacing w:line="240" w:lineRule="exact"/>
              <w:rPr>
                <w:rFonts w:hint="eastAsia" w:ascii="宋体" w:hAnsi="宋体" w:eastAsia="宋体" w:cs="宋体"/>
                <w:spacing w:val="-6"/>
                <w:sz w:val="18"/>
                <w:szCs w:val="18"/>
                <w:lang w:eastAsia="zh-CN"/>
              </w:rPr>
            </w:pPr>
            <w:r>
              <w:rPr>
                <w:rFonts w:hint="eastAsia" w:ascii="宋体" w:hAnsi="宋体" w:cs="宋体"/>
                <w:sz w:val="18"/>
                <w:szCs w:val="18"/>
              </w:rPr>
              <w:t>　　</w:t>
            </w:r>
            <w:r>
              <w:rPr>
                <w:rFonts w:hint="eastAsia" w:ascii="宋体" w:hAnsi="宋体" w:cs="宋体"/>
                <w:spacing w:val="-6"/>
                <w:sz w:val="18"/>
                <w:szCs w:val="18"/>
              </w:rPr>
              <w:t>（一）未建立医疗保障基金使用内部管理制度，或者没有专门机构或者人员负责医疗保障基金使用管理工作；</w:t>
            </w:r>
          </w:p>
          <w:p w14:paraId="29555A43">
            <w:pPr>
              <w:spacing w:line="240" w:lineRule="exact"/>
              <w:rPr>
                <w:rFonts w:hint="eastAsia" w:ascii="宋体" w:hAnsi="宋体" w:eastAsia="宋体" w:cs="宋体"/>
                <w:sz w:val="18"/>
                <w:szCs w:val="18"/>
                <w:lang w:eastAsia="zh-CN"/>
              </w:rPr>
            </w:pPr>
            <w:r>
              <w:rPr>
                <w:rFonts w:hint="eastAsia" w:ascii="宋体" w:hAnsi="宋体" w:cs="宋体"/>
                <w:sz w:val="18"/>
                <w:szCs w:val="18"/>
              </w:rPr>
              <w:t>　　（二）未按照规定保管财务账目、会计凭证、处方、病历、治疗检查记录、费用明细、药品和医用耗材出入库记录等资料；</w:t>
            </w:r>
          </w:p>
          <w:p w14:paraId="2F0AA0A4">
            <w:pPr>
              <w:spacing w:line="240" w:lineRule="exact"/>
              <w:rPr>
                <w:rFonts w:hint="eastAsia" w:ascii="宋体" w:hAnsi="宋体" w:eastAsia="宋体" w:cs="宋体"/>
                <w:sz w:val="18"/>
                <w:szCs w:val="18"/>
                <w:lang w:eastAsia="zh-CN"/>
              </w:rPr>
            </w:pPr>
            <w:r>
              <w:rPr>
                <w:rFonts w:hint="eastAsia" w:ascii="宋体" w:hAnsi="宋体" w:cs="宋体"/>
                <w:sz w:val="18"/>
                <w:szCs w:val="18"/>
              </w:rPr>
              <w:t>　　（三）未按照规定通过医疗保障信息系统传送医疗保障基金使用有关数据；</w:t>
            </w:r>
          </w:p>
          <w:p w14:paraId="4B69FF6A">
            <w:pPr>
              <w:spacing w:line="240" w:lineRule="exact"/>
              <w:rPr>
                <w:rFonts w:hint="eastAsia" w:ascii="宋体" w:hAnsi="宋体" w:eastAsia="宋体" w:cs="宋体"/>
                <w:sz w:val="18"/>
                <w:szCs w:val="18"/>
                <w:lang w:eastAsia="zh-CN"/>
              </w:rPr>
            </w:pPr>
            <w:r>
              <w:rPr>
                <w:rFonts w:hint="eastAsia" w:ascii="宋体" w:hAnsi="宋体" w:cs="宋体"/>
                <w:sz w:val="18"/>
                <w:szCs w:val="18"/>
              </w:rPr>
              <w:t>　　（四）未按照规定向医疗保障行政部门报告医疗保障基金使用监督管理所需信息；</w:t>
            </w:r>
          </w:p>
          <w:p w14:paraId="1F319F10">
            <w:pPr>
              <w:spacing w:line="240" w:lineRule="exact"/>
              <w:rPr>
                <w:rFonts w:hint="eastAsia" w:ascii="宋体" w:hAnsi="宋体" w:eastAsia="宋体" w:cs="宋体"/>
                <w:sz w:val="18"/>
                <w:szCs w:val="18"/>
                <w:lang w:eastAsia="zh-CN"/>
              </w:rPr>
            </w:pPr>
            <w:r>
              <w:rPr>
                <w:rFonts w:hint="eastAsia" w:ascii="宋体" w:hAnsi="宋体" w:cs="宋体"/>
                <w:sz w:val="18"/>
                <w:szCs w:val="18"/>
              </w:rPr>
              <w:t>　　（五）未按照规定向社会公开医药费用、费用结构等信息；</w:t>
            </w:r>
          </w:p>
          <w:p w14:paraId="6875245F">
            <w:pPr>
              <w:spacing w:line="240" w:lineRule="exact"/>
              <w:rPr>
                <w:rFonts w:hint="eastAsia" w:ascii="宋体" w:hAnsi="宋体" w:eastAsia="宋体" w:cs="宋体"/>
                <w:sz w:val="18"/>
                <w:szCs w:val="18"/>
                <w:lang w:eastAsia="zh-CN"/>
              </w:rPr>
            </w:pPr>
            <w:r>
              <w:rPr>
                <w:rFonts w:hint="eastAsia" w:ascii="宋体" w:hAnsi="宋体" w:cs="宋体"/>
                <w:sz w:val="18"/>
                <w:szCs w:val="18"/>
              </w:rPr>
              <w:t>　　（六）除急诊、抢救等特殊情形外，未经参保人员或者其近亲属、监护人同意提供医疗保障基金支付范围以外的医药服务；</w:t>
            </w:r>
          </w:p>
          <w:p w14:paraId="78B0A2AB">
            <w:pPr>
              <w:spacing w:line="240" w:lineRule="exact"/>
              <w:rPr>
                <w:rFonts w:ascii="宋体" w:hAnsi="宋体" w:cs="宋体"/>
                <w:sz w:val="18"/>
                <w:szCs w:val="18"/>
              </w:rPr>
            </w:pPr>
            <w:r>
              <w:rPr>
                <w:rFonts w:hint="eastAsia" w:ascii="宋体" w:hAnsi="宋体" w:cs="宋体"/>
                <w:sz w:val="18"/>
                <w:szCs w:val="18"/>
              </w:rPr>
              <w:t>　　（七）拒绝医疗保障等行政部门监督检查或者提供虚假情况。</w:t>
            </w:r>
          </w:p>
        </w:tc>
        <w:tc>
          <w:tcPr>
            <w:tcW w:w="943" w:type="dxa"/>
            <w:tcBorders>
              <w:top w:val="single" w:color="000000" w:sz="4" w:space="0"/>
              <w:left w:val="single" w:color="000000" w:sz="4" w:space="0"/>
              <w:bottom w:val="single" w:color="000000" w:sz="4" w:space="0"/>
              <w:right w:val="single" w:color="000000" w:sz="4" w:space="0"/>
            </w:tcBorders>
            <w:vAlign w:val="center"/>
          </w:tcPr>
          <w:p w14:paraId="34DAD411">
            <w:pPr>
              <w:spacing w:line="240" w:lineRule="exact"/>
              <w:jc w:val="center"/>
              <w:rPr>
                <w:rFonts w:ascii="宋体" w:hAnsi="宋体" w:cs="宋体"/>
                <w:sz w:val="18"/>
                <w:szCs w:val="18"/>
              </w:rPr>
            </w:pPr>
            <w:r>
              <w:rPr>
                <w:rFonts w:hint="eastAsia" w:ascii="宋体" w:hAnsi="宋体" w:cs="宋体"/>
                <w:sz w:val="18"/>
                <w:szCs w:val="18"/>
              </w:rPr>
              <w:t>县级医疗保障部门</w:t>
            </w:r>
          </w:p>
        </w:tc>
        <w:tc>
          <w:tcPr>
            <w:tcW w:w="977" w:type="dxa"/>
            <w:tcBorders>
              <w:top w:val="single" w:color="000000" w:sz="4" w:space="0"/>
              <w:left w:val="single" w:color="000000" w:sz="4" w:space="0"/>
              <w:bottom w:val="single" w:color="000000" w:sz="4" w:space="0"/>
              <w:right w:val="single" w:color="000000" w:sz="4" w:space="0"/>
            </w:tcBorders>
            <w:vAlign w:val="center"/>
          </w:tcPr>
          <w:p w14:paraId="4B45C322">
            <w:pPr>
              <w:spacing w:line="240" w:lineRule="exact"/>
              <w:jc w:val="center"/>
              <w:rPr>
                <w:rFonts w:ascii="宋体" w:hAnsi="宋体" w:cs="宋体"/>
                <w:sz w:val="18"/>
                <w:szCs w:val="18"/>
              </w:rPr>
            </w:pPr>
            <w:r>
              <w:rPr>
                <w:rFonts w:hint="eastAsia" w:ascii="宋体" w:hAnsi="宋体" w:cs="宋体"/>
                <w:sz w:val="18"/>
                <w:szCs w:val="18"/>
              </w:rPr>
              <w:t>新增加</w:t>
            </w:r>
          </w:p>
        </w:tc>
        <w:tc>
          <w:tcPr>
            <w:tcW w:w="981" w:type="dxa"/>
            <w:tcBorders>
              <w:top w:val="single" w:color="000000" w:sz="4" w:space="0"/>
              <w:left w:val="single" w:color="000000" w:sz="4" w:space="0"/>
              <w:bottom w:val="single" w:color="000000" w:sz="4" w:space="0"/>
              <w:right w:val="single" w:color="000000" w:sz="4" w:space="0"/>
            </w:tcBorders>
            <w:vAlign w:val="center"/>
          </w:tcPr>
          <w:p w14:paraId="6DAF4590">
            <w:pPr>
              <w:spacing w:line="240" w:lineRule="exact"/>
              <w:ind w:firstLine="360" w:firstLineChars="200"/>
              <w:rPr>
                <w:rFonts w:ascii="宋体" w:hAnsi="宋体" w:cs="宋体"/>
                <w:sz w:val="18"/>
                <w:szCs w:val="18"/>
              </w:rPr>
            </w:pPr>
          </w:p>
        </w:tc>
        <w:tc>
          <w:tcPr>
            <w:tcW w:w="636" w:type="dxa"/>
            <w:tcBorders>
              <w:top w:val="single" w:color="000000" w:sz="4" w:space="0"/>
              <w:left w:val="single" w:color="000000" w:sz="4" w:space="0"/>
              <w:bottom w:val="single" w:color="000000" w:sz="4" w:space="0"/>
              <w:right w:val="single" w:color="000000" w:sz="4" w:space="0"/>
            </w:tcBorders>
            <w:noWrap/>
            <w:vAlign w:val="center"/>
          </w:tcPr>
          <w:p w14:paraId="7948563E">
            <w:pPr>
              <w:spacing w:line="240" w:lineRule="exact"/>
              <w:ind w:firstLine="360" w:firstLineChars="200"/>
              <w:rPr>
                <w:rFonts w:ascii="宋体" w:hAnsi="宋体" w:cs="宋体"/>
                <w:sz w:val="18"/>
                <w:szCs w:val="18"/>
              </w:rPr>
            </w:pPr>
          </w:p>
        </w:tc>
      </w:tr>
      <w:tr w14:paraId="0C083D2E">
        <w:tblPrEx>
          <w:tblCellMar>
            <w:top w:w="0" w:type="dxa"/>
            <w:left w:w="108" w:type="dxa"/>
            <w:bottom w:w="0" w:type="dxa"/>
            <w:right w:w="108" w:type="dxa"/>
          </w:tblCellMar>
        </w:tblPrEx>
        <w:trPr>
          <w:trHeight w:val="8430" w:hRule="atLeast"/>
          <w:jc w:val="center"/>
        </w:trPr>
        <w:tc>
          <w:tcPr>
            <w:tcW w:w="493" w:type="dxa"/>
            <w:tcBorders>
              <w:top w:val="single" w:color="000000" w:sz="4" w:space="0"/>
              <w:left w:val="single" w:color="000000" w:sz="4" w:space="0"/>
              <w:bottom w:val="single" w:color="000000" w:sz="4" w:space="0"/>
              <w:right w:val="single" w:color="000000" w:sz="4" w:space="0"/>
            </w:tcBorders>
            <w:vAlign w:val="center"/>
          </w:tcPr>
          <w:p w14:paraId="07DE50AE">
            <w:pPr>
              <w:spacing w:line="240" w:lineRule="exact"/>
              <w:jc w:val="center"/>
              <w:rPr>
                <w:rFonts w:ascii="宋体" w:hAnsi="宋体" w:cs="宋体"/>
                <w:sz w:val="18"/>
                <w:szCs w:val="18"/>
              </w:rPr>
            </w:pPr>
            <w:r>
              <w:rPr>
                <w:rFonts w:hint="eastAsia" w:ascii="宋体" w:hAnsi="宋体" w:cs="宋体"/>
                <w:sz w:val="18"/>
                <w:szCs w:val="18"/>
              </w:rPr>
              <w:t>6</w:t>
            </w:r>
          </w:p>
        </w:tc>
        <w:tc>
          <w:tcPr>
            <w:tcW w:w="1087" w:type="dxa"/>
            <w:tcBorders>
              <w:top w:val="single" w:color="000000" w:sz="4" w:space="0"/>
              <w:left w:val="single" w:color="000000" w:sz="4" w:space="0"/>
              <w:bottom w:val="single" w:color="000000" w:sz="4" w:space="0"/>
              <w:right w:val="single" w:color="000000" w:sz="4" w:space="0"/>
            </w:tcBorders>
            <w:vAlign w:val="center"/>
          </w:tcPr>
          <w:p w14:paraId="56B3CF34">
            <w:pPr>
              <w:spacing w:line="240" w:lineRule="exact"/>
              <w:rPr>
                <w:rFonts w:ascii="宋体" w:hAnsi="宋体" w:cs="宋体"/>
                <w:sz w:val="18"/>
                <w:szCs w:val="18"/>
              </w:rPr>
            </w:pPr>
            <w:r>
              <w:rPr>
                <w:rFonts w:hint="eastAsia" w:ascii="宋体" w:hAnsi="宋体" w:cs="宋体"/>
                <w:sz w:val="18"/>
                <w:szCs w:val="18"/>
              </w:rPr>
              <w:t>典当业特种行业许可证核发</w:t>
            </w:r>
          </w:p>
        </w:tc>
        <w:tc>
          <w:tcPr>
            <w:tcW w:w="1139" w:type="dxa"/>
            <w:tcBorders>
              <w:top w:val="single" w:color="000000" w:sz="4" w:space="0"/>
              <w:left w:val="single" w:color="000000" w:sz="4" w:space="0"/>
              <w:bottom w:val="single" w:color="000000" w:sz="4" w:space="0"/>
              <w:right w:val="single" w:color="000000" w:sz="4" w:space="0"/>
            </w:tcBorders>
            <w:vAlign w:val="center"/>
          </w:tcPr>
          <w:p w14:paraId="2AF92ED8">
            <w:pPr>
              <w:spacing w:line="240" w:lineRule="exact"/>
              <w:ind w:firstLine="360" w:firstLineChars="200"/>
              <w:rPr>
                <w:rFonts w:ascii="宋体" w:hAnsi="宋体" w:cs="宋体"/>
                <w:sz w:val="18"/>
                <w:szCs w:val="18"/>
              </w:rPr>
            </w:pPr>
          </w:p>
        </w:tc>
        <w:tc>
          <w:tcPr>
            <w:tcW w:w="810" w:type="dxa"/>
            <w:tcBorders>
              <w:top w:val="single" w:color="000000" w:sz="4" w:space="0"/>
              <w:left w:val="single" w:color="000000" w:sz="4" w:space="0"/>
              <w:bottom w:val="single" w:color="000000" w:sz="4" w:space="0"/>
              <w:right w:val="single" w:color="000000" w:sz="4" w:space="0"/>
            </w:tcBorders>
            <w:vAlign w:val="center"/>
          </w:tcPr>
          <w:p w14:paraId="02710F60">
            <w:pPr>
              <w:spacing w:line="240" w:lineRule="exact"/>
              <w:jc w:val="center"/>
              <w:rPr>
                <w:rFonts w:ascii="宋体" w:hAnsi="宋体" w:cs="宋体"/>
                <w:sz w:val="18"/>
                <w:szCs w:val="18"/>
              </w:rPr>
            </w:pPr>
            <w:r>
              <w:rPr>
                <w:rFonts w:hint="eastAsia" w:ascii="宋体" w:hAnsi="宋体" w:cs="宋体"/>
                <w:sz w:val="18"/>
                <w:szCs w:val="18"/>
              </w:rPr>
              <w:t>行政许可</w:t>
            </w:r>
          </w:p>
        </w:tc>
        <w:tc>
          <w:tcPr>
            <w:tcW w:w="3140" w:type="dxa"/>
            <w:tcBorders>
              <w:top w:val="single" w:color="000000" w:sz="4" w:space="0"/>
              <w:left w:val="single" w:color="000000" w:sz="4" w:space="0"/>
              <w:bottom w:val="single" w:color="000000" w:sz="4" w:space="0"/>
              <w:right w:val="single" w:color="000000" w:sz="4" w:space="0"/>
            </w:tcBorders>
            <w:vAlign w:val="center"/>
          </w:tcPr>
          <w:p w14:paraId="6AF20B27">
            <w:pPr>
              <w:spacing w:line="240" w:lineRule="exact"/>
              <w:rPr>
                <w:rFonts w:ascii="宋体" w:hAnsi="宋体" w:cs="宋体"/>
                <w:sz w:val="18"/>
                <w:szCs w:val="18"/>
              </w:rPr>
            </w:pPr>
            <w:r>
              <w:rPr>
                <w:rFonts w:hint="eastAsia" w:ascii="宋体" w:hAnsi="宋体" w:cs="宋体"/>
                <w:sz w:val="18"/>
                <w:szCs w:val="18"/>
              </w:rPr>
              <w:t>《国务院对确需保留的行政审批项目设定行政许可的决定》</w:t>
            </w:r>
          </w:p>
        </w:tc>
        <w:tc>
          <w:tcPr>
            <w:tcW w:w="943" w:type="dxa"/>
            <w:tcBorders>
              <w:top w:val="single" w:color="000000" w:sz="4" w:space="0"/>
              <w:left w:val="single" w:color="000000" w:sz="4" w:space="0"/>
              <w:bottom w:val="single" w:color="000000" w:sz="4" w:space="0"/>
              <w:right w:val="single" w:color="000000" w:sz="4" w:space="0"/>
            </w:tcBorders>
            <w:vAlign w:val="center"/>
          </w:tcPr>
          <w:p w14:paraId="2176627B">
            <w:pPr>
              <w:spacing w:line="240" w:lineRule="exact"/>
              <w:jc w:val="center"/>
              <w:rPr>
                <w:rFonts w:ascii="宋体" w:hAnsi="宋体" w:cs="宋体"/>
                <w:sz w:val="18"/>
                <w:szCs w:val="18"/>
              </w:rPr>
            </w:pPr>
            <w:r>
              <w:rPr>
                <w:rFonts w:hint="eastAsia" w:ascii="宋体" w:hAnsi="宋体" w:cs="宋体"/>
                <w:sz w:val="18"/>
                <w:szCs w:val="18"/>
              </w:rPr>
              <w:t>县级以上地方公安机关</w:t>
            </w:r>
          </w:p>
        </w:tc>
        <w:tc>
          <w:tcPr>
            <w:tcW w:w="977" w:type="dxa"/>
            <w:tcBorders>
              <w:top w:val="single" w:color="000000" w:sz="4" w:space="0"/>
              <w:left w:val="single" w:color="000000" w:sz="4" w:space="0"/>
              <w:bottom w:val="single" w:color="000000" w:sz="4" w:space="0"/>
              <w:right w:val="single" w:color="000000" w:sz="4" w:space="0"/>
            </w:tcBorders>
            <w:vAlign w:val="center"/>
          </w:tcPr>
          <w:p w14:paraId="71E42670">
            <w:pPr>
              <w:spacing w:line="240" w:lineRule="exact"/>
              <w:jc w:val="center"/>
              <w:rPr>
                <w:rFonts w:ascii="宋体" w:hAnsi="宋体" w:cs="宋体"/>
                <w:sz w:val="18"/>
                <w:szCs w:val="18"/>
              </w:rPr>
            </w:pPr>
            <w:r>
              <w:rPr>
                <w:rFonts w:hint="eastAsia" w:ascii="宋体" w:hAnsi="宋体" w:cs="宋体"/>
                <w:sz w:val="18"/>
                <w:szCs w:val="18"/>
              </w:rPr>
              <w:t>取消</w:t>
            </w:r>
          </w:p>
        </w:tc>
        <w:tc>
          <w:tcPr>
            <w:tcW w:w="981" w:type="dxa"/>
            <w:tcBorders>
              <w:top w:val="single" w:color="000000" w:sz="4" w:space="0"/>
              <w:left w:val="single" w:color="000000" w:sz="4" w:space="0"/>
              <w:bottom w:val="single" w:color="000000" w:sz="4" w:space="0"/>
              <w:right w:val="single" w:color="000000" w:sz="4" w:space="0"/>
            </w:tcBorders>
            <w:vAlign w:val="center"/>
          </w:tcPr>
          <w:p w14:paraId="6CC32ECA">
            <w:pPr>
              <w:spacing w:line="200" w:lineRule="exact"/>
              <w:rPr>
                <w:rFonts w:hint="eastAsia" w:ascii="宋体" w:hAnsi="宋体" w:eastAsia="宋体" w:cs="宋体"/>
                <w:spacing w:val="-6"/>
                <w:sz w:val="18"/>
                <w:szCs w:val="18"/>
                <w:lang w:eastAsia="zh-CN"/>
              </w:rPr>
            </w:pPr>
            <w:r>
              <w:rPr>
                <w:rFonts w:hint="eastAsia" w:ascii="宋体" w:hAnsi="宋体" w:cs="宋体"/>
                <w:spacing w:val="-6"/>
                <w:sz w:val="18"/>
                <w:szCs w:val="18"/>
              </w:rPr>
              <w:t>取消许可后，县级以上地方公安机关会同金融监管部门通过以下措施加强监管：</w:t>
            </w:r>
          </w:p>
          <w:p w14:paraId="576F59F1">
            <w:pPr>
              <w:spacing w:line="200" w:lineRule="exact"/>
              <w:rPr>
                <w:rFonts w:hint="eastAsia" w:ascii="宋体" w:hAnsi="宋体" w:eastAsia="宋体" w:cs="宋体"/>
                <w:spacing w:val="-6"/>
                <w:sz w:val="18"/>
                <w:szCs w:val="18"/>
                <w:lang w:eastAsia="zh-CN"/>
              </w:rPr>
            </w:pPr>
            <w:r>
              <w:rPr>
                <w:rFonts w:hint="eastAsia" w:ascii="宋体" w:hAnsi="宋体" w:cs="宋体"/>
                <w:spacing w:val="-6"/>
                <w:sz w:val="18"/>
                <w:szCs w:val="18"/>
              </w:rPr>
              <w:t>1.积极与省金融监管部门沟通配合，建立健全信息推送制度，确保金融监管部门办理的“设立典当行及分支机构审批”相关信息在5个工作日内推送给省级公安机关，省级公安机关时时将相关信息推送至设立典当的市级属地公安机关，将其纳入管理，依法实施监管。</w:t>
            </w:r>
          </w:p>
          <w:p w14:paraId="6D5CA7D4">
            <w:pPr>
              <w:spacing w:line="200" w:lineRule="exact"/>
              <w:rPr>
                <w:rFonts w:ascii="宋体" w:hAnsi="宋体" w:cs="宋体"/>
                <w:spacing w:val="-6"/>
                <w:sz w:val="18"/>
                <w:szCs w:val="18"/>
              </w:rPr>
            </w:pPr>
            <w:r>
              <w:rPr>
                <w:rFonts w:hint="eastAsia" w:ascii="宋体" w:hAnsi="宋体" w:cs="宋体"/>
                <w:spacing w:val="-6"/>
                <w:sz w:val="18"/>
                <w:szCs w:val="18"/>
              </w:rPr>
              <w:t>2.通过“</w:t>
            </w:r>
            <w:r>
              <w:rPr>
                <w:rFonts w:hint="eastAsia" w:ascii="宋体" w:hAnsi="宋体" w:cs="宋体"/>
                <w:spacing w:val="-6"/>
                <w:sz w:val="18"/>
                <w:szCs w:val="18"/>
                <w:lang w:eastAsia="zh-CN"/>
              </w:rPr>
              <w:t>双随机</w:t>
            </w:r>
            <w:r>
              <w:rPr>
                <w:rFonts w:hint="eastAsia" w:ascii="宋体" w:hAnsi="宋体" w:cs="宋体"/>
                <w:spacing w:val="-6"/>
                <w:sz w:val="18"/>
                <w:szCs w:val="18"/>
              </w:rPr>
              <w:t>、一公开”监管等方式，加强对典当行的治安管理，及时化解风险隐患，发现违法犯罪活动依法查处。</w:t>
            </w:r>
          </w:p>
        </w:tc>
        <w:tc>
          <w:tcPr>
            <w:tcW w:w="636" w:type="dxa"/>
            <w:tcBorders>
              <w:top w:val="single" w:color="000000" w:sz="4" w:space="0"/>
              <w:left w:val="single" w:color="000000" w:sz="4" w:space="0"/>
              <w:bottom w:val="single" w:color="000000" w:sz="4" w:space="0"/>
              <w:right w:val="single" w:color="000000" w:sz="4" w:space="0"/>
            </w:tcBorders>
            <w:vAlign w:val="center"/>
          </w:tcPr>
          <w:p w14:paraId="1B2F07E5">
            <w:pPr>
              <w:spacing w:line="220" w:lineRule="exact"/>
              <w:rPr>
                <w:rFonts w:ascii="宋体" w:hAnsi="宋体" w:cs="宋体"/>
                <w:sz w:val="18"/>
                <w:szCs w:val="18"/>
              </w:rPr>
            </w:pPr>
            <w:r>
              <w:rPr>
                <w:rFonts w:hint="eastAsia" w:ascii="宋体" w:hAnsi="宋体" w:cs="宋体"/>
                <w:sz w:val="18"/>
                <w:szCs w:val="18"/>
              </w:rPr>
              <w:t>发改部门会同同级公安机关共同实施。</w:t>
            </w:r>
          </w:p>
        </w:tc>
      </w:tr>
      <w:tr w14:paraId="66DEF1E5">
        <w:tblPrEx>
          <w:tblCellMar>
            <w:top w:w="0" w:type="dxa"/>
            <w:left w:w="108" w:type="dxa"/>
            <w:bottom w:w="0" w:type="dxa"/>
            <w:right w:w="108" w:type="dxa"/>
          </w:tblCellMar>
        </w:tblPrEx>
        <w:trPr>
          <w:trHeight w:val="90" w:hRule="atLeast"/>
          <w:jc w:val="center"/>
        </w:trPr>
        <w:tc>
          <w:tcPr>
            <w:tcW w:w="493" w:type="dxa"/>
            <w:tcBorders>
              <w:top w:val="single" w:color="000000" w:sz="4" w:space="0"/>
              <w:left w:val="single" w:color="000000" w:sz="4" w:space="0"/>
              <w:bottom w:val="single" w:color="000000" w:sz="4" w:space="0"/>
              <w:right w:val="single" w:color="000000" w:sz="4" w:space="0"/>
            </w:tcBorders>
            <w:vAlign w:val="center"/>
          </w:tcPr>
          <w:p w14:paraId="654A557D">
            <w:pPr>
              <w:spacing w:line="240" w:lineRule="exact"/>
              <w:jc w:val="center"/>
              <w:rPr>
                <w:rFonts w:ascii="宋体" w:hAnsi="宋体" w:cs="宋体"/>
                <w:sz w:val="18"/>
                <w:szCs w:val="18"/>
              </w:rPr>
            </w:pPr>
            <w:r>
              <w:rPr>
                <w:rFonts w:hint="eastAsia" w:ascii="宋体" w:hAnsi="宋体" w:cs="宋体"/>
                <w:sz w:val="18"/>
                <w:szCs w:val="18"/>
              </w:rPr>
              <w:t>7</w:t>
            </w:r>
          </w:p>
        </w:tc>
        <w:tc>
          <w:tcPr>
            <w:tcW w:w="1087" w:type="dxa"/>
            <w:tcBorders>
              <w:top w:val="single" w:color="000000" w:sz="4" w:space="0"/>
              <w:left w:val="single" w:color="000000" w:sz="4" w:space="0"/>
              <w:bottom w:val="single" w:color="000000" w:sz="4" w:space="0"/>
              <w:right w:val="single" w:color="000000" w:sz="4" w:space="0"/>
            </w:tcBorders>
            <w:vAlign w:val="center"/>
          </w:tcPr>
          <w:p w14:paraId="012D45D2">
            <w:pPr>
              <w:spacing w:line="240" w:lineRule="exact"/>
              <w:rPr>
                <w:rFonts w:ascii="宋体" w:hAnsi="宋体" w:cs="宋体"/>
                <w:sz w:val="18"/>
                <w:szCs w:val="18"/>
              </w:rPr>
            </w:pPr>
            <w:r>
              <w:rPr>
                <w:rFonts w:hint="eastAsia" w:ascii="宋体" w:hAnsi="宋体" w:cs="宋体"/>
                <w:sz w:val="18"/>
                <w:szCs w:val="18"/>
              </w:rPr>
              <w:t>乡村兽医登记许可</w:t>
            </w:r>
          </w:p>
        </w:tc>
        <w:tc>
          <w:tcPr>
            <w:tcW w:w="1139" w:type="dxa"/>
            <w:tcBorders>
              <w:top w:val="single" w:color="000000" w:sz="4" w:space="0"/>
              <w:left w:val="single" w:color="000000" w:sz="4" w:space="0"/>
              <w:bottom w:val="single" w:color="000000" w:sz="4" w:space="0"/>
              <w:right w:val="single" w:color="000000" w:sz="4" w:space="0"/>
            </w:tcBorders>
            <w:vAlign w:val="center"/>
          </w:tcPr>
          <w:p w14:paraId="2396CB0E">
            <w:pPr>
              <w:spacing w:line="240" w:lineRule="exact"/>
              <w:ind w:firstLine="360" w:firstLineChars="200"/>
              <w:rPr>
                <w:rFonts w:ascii="宋体" w:hAnsi="宋体" w:cs="宋体"/>
                <w:sz w:val="18"/>
                <w:szCs w:val="18"/>
              </w:rPr>
            </w:pPr>
          </w:p>
        </w:tc>
        <w:tc>
          <w:tcPr>
            <w:tcW w:w="810" w:type="dxa"/>
            <w:tcBorders>
              <w:top w:val="single" w:color="000000" w:sz="4" w:space="0"/>
              <w:left w:val="single" w:color="000000" w:sz="4" w:space="0"/>
              <w:bottom w:val="single" w:color="000000" w:sz="4" w:space="0"/>
              <w:right w:val="single" w:color="000000" w:sz="4" w:space="0"/>
            </w:tcBorders>
            <w:vAlign w:val="center"/>
          </w:tcPr>
          <w:p w14:paraId="24A9BB87">
            <w:pPr>
              <w:spacing w:line="240" w:lineRule="exact"/>
              <w:jc w:val="center"/>
              <w:rPr>
                <w:rFonts w:ascii="宋体" w:hAnsi="宋体" w:cs="宋体"/>
                <w:sz w:val="18"/>
                <w:szCs w:val="18"/>
              </w:rPr>
            </w:pPr>
            <w:r>
              <w:rPr>
                <w:rFonts w:hint="eastAsia" w:ascii="宋体" w:hAnsi="宋体" w:cs="宋体"/>
                <w:sz w:val="18"/>
                <w:szCs w:val="18"/>
              </w:rPr>
              <w:t>行政许可</w:t>
            </w:r>
          </w:p>
        </w:tc>
        <w:tc>
          <w:tcPr>
            <w:tcW w:w="3140" w:type="dxa"/>
            <w:tcBorders>
              <w:top w:val="single" w:color="000000" w:sz="4" w:space="0"/>
              <w:left w:val="single" w:color="000000" w:sz="4" w:space="0"/>
              <w:bottom w:val="single" w:color="000000" w:sz="4" w:space="0"/>
              <w:right w:val="single" w:color="000000" w:sz="4" w:space="0"/>
            </w:tcBorders>
            <w:vAlign w:val="center"/>
          </w:tcPr>
          <w:p w14:paraId="735ED362">
            <w:pPr>
              <w:spacing w:line="240" w:lineRule="exact"/>
              <w:rPr>
                <w:rFonts w:hint="eastAsia" w:ascii="宋体" w:hAnsi="宋体" w:eastAsia="宋体" w:cs="宋体"/>
                <w:sz w:val="18"/>
                <w:szCs w:val="18"/>
                <w:lang w:eastAsia="zh-CN"/>
              </w:rPr>
            </w:pPr>
            <w:r>
              <w:rPr>
                <w:rFonts w:hint="eastAsia" w:ascii="宋体" w:hAnsi="宋体" w:cs="宋体"/>
                <w:sz w:val="18"/>
                <w:szCs w:val="18"/>
              </w:rPr>
              <w:t>《中华人民共和国动物防疫法》</w:t>
            </w:r>
          </w:p>
          <w:p w14:paraId="6AFACB16">
            <w:pPr>
              <w:spacing w:line="240" w:lineRule="exact"/>
              <w:rPr>
                <w:rFonts w:ascii="宋体" w:hAnsi="宋体" w:cs="宋体"/>
                <w:sz w:val="18"/>
                <w:szCs w:val="18"/>
              </w:rPr>
            </w:pPr>
            <w:r>
              <w:rPr>
                <w:rFonts w:hint="eastAsia" w:ascii="宋体" w:hAnsi="宋体" w:cs="宋体"/>
                <w:sz w:val="18"/>
                <w:szCs w:val="18"/>
              </w:rPr>
              <w:t>《乡村兽医管理办法》（原农业部令第17号）</w:t>
            </w:r>
          </w:p>
        </w:tc>
        <w:tc>
          <w:tcPr>
            <w:tcW w:w="943" w:type="dxa"/>
            <w:tcBorders>
              <w:top w:val="single" w:color="000000" w:sz="4" w:space="0"/>
              <w:left w:val="single" w:color="000000" w:sz="4" w:space="0"/>
              <w:bottom w:val="single" w:color="000000" w:sz="4" w:space="0"/>
              <w:right w:val="single" w:color="000000" w:sz="4" w:space="0"/>
            </w:tcBorders>
            <w:vAlign w:val="center"/>
          </w:tcPr>
          <w:p w14:paraId="5C666EE1">
            <w:pPr>
              <w:spacing w:line="240" w:lineRule="exact"/>
              <w:jc w:val="center"/>
              <w:rPr>
                <w:rFonts w:ascii="宋体" w:hAnsi="宋体" w:cs="宋体"/>
                <w:sz w:val="18"/>
                <w:szCs w:val="18"/>
              </w:rPr>
            </w:pPr>
            <w:r>
              <w:rPr>
                <w:rFonts w:hint="eastAsia" w:ascii="宋体" w:hAnsi="宋体" w:cs="宋体"/>
                <w:sz w:val="18"/>
                <w:szCs w:val="18"/>
              </w:rPr>
              <w:t>县级农业农村部门</w:t>
            </w:r>
          </w:p>
        </w:tc>
        <w:tc>
          <w:tcPr>
            <w:tcW w:w="977" w:type="dxa"/>
            <w:tcBorders>
              <w:top w:val="single" w:color="000000" w:sz="4" w:space="0"/>
              <w:left w:val="single" w:color="000000" w:sz="4" w:space="0"/>
              <w:bottom w:val="single" w:color="000000" w:sz="4" w:space="0"/>
              <w:right w:val="single" w:color="000000" w:sz="4" w:space="0"/>
            </w:tcBorders>
            <w:vAlign w:val="center"/>
          </w:tcPr>
          <w:p w14:paraId="4E000122">
            <w:pPr>
              <w:spacing w:line="240" w:lineRule="exact"/>
              <w:rPr>
                <w:rFonts w:ascii="宋体" w:hAnsi="宋体" w:cs="宋体"/>
                <w:sz w:val="18"/>
                <w:szCs w:val="18"/>
              </w:rPr>
            </w:pPr>
            <w:r>
              <w:rPr>
                <w:rFonts w:hint="eastAsia" w:ascii="宋体" w:hAnsi="宋体" w:cs="宋体"/>
                <w:sz w:val="18"/>
                <w:szCs w:val="18"/>
              </w:rPr>
              <w:t>取消。改为备案管理。</w:t>
            </w:r>
          </w:p>
        </w:tc>
        <w:tc>
          <w:tcPr>
            <w:tcW w:w="981" w:type="dxa"/>
            <w:tcBorders>
              <w:top w:val="single" w:color="000000" w:sz="4" w:space="0"/>
              <w:left w:val="single" w:color="000000" w:sz="4" w:space="0"/>
              <w:bottom w:val="single" w:color="000000" w:sz="4" w:space="0"/>
              <w:right w:val="single" w:color="000000" w:sz="4" w:space="0"/>
            </w:tcBorders>
            <w:vAlign w:val="center"/>
          </w:tcPr>
          <w:p w14:paraId="55DFCF27">
            <w:pPr>
              <w:spacing w:line="200" w:lineRule="exact"/>
              <w:rPr>
                <w:rFonts w:hint="eastAsia" w:ascii="宋体" w:hAnsi="宋体" w:eastAsia="宋体" w:cs="宋体"/>
                <w:spacing w:val="-6"/>
                <w:sz w:val="18"/>
                <w:szCs w:val="18"/>
                <w:lang w:eastAsia="zh-CN"/>
              </w:rPr>
            </w:pPr>
            <w:r>
              <w:rPr>
                <w:rFonts w:hint="eastAsia" w:ascii="宋体" w:hAnsi="宋体" w:cs="宋体"/>
                <w:spacing w:val="-6"/>
                <w:sz w:val="18"/>
                <w:szCs w:val="18"/>
              </w:rPr>
              <w:t>取消许可，改为备案。农业农村部门要通过以下措施加强监管：</w:t>
            </w:r>
          </w:p>
          <w:p w14:paraId="3B5AF918">
            <w:pPr>
              <w:spacing w:line="200" w:lineRule="exact"/>
              <w:rPr>
                <w:rFonts w:hint="eastAsia" w:ascii="宋体" w:hAnsi="宋体" w:eastAsia="宋体" w:cs="宋体"/>
                <w:spacing w:val="-6"/>
                <w:sz w:val="18"/>
                <w:szCs w:val="18"/>
                <w:lang w:eastAsia="zh-CN"/>
              </w:rPr>
            </w:pPr>
            <w:r>
              <w:rPr>
                <w:rFonts w:hint="eastAsia" w:ascii="宋体" w:hAnsi="宋体" w:cs="宋体"/>
                <w:spacing w:val="-6"/>
                <w:sz w:val="18"/>
                <w:szCs w:val="18"/>
              </w:rPr>
              <w:t>1.建立健全乡村兽医服务人员备案制度，对不按要求备案的要依法设定并追究法律责任。要向社会公开备案情况，方便查询、就医，并发挥社会监督作用。</w:t>
            </w:r>
          </w:p>
          <w:p w14:paraId="76DEF5EC">
            <w:pPr>
              <w:spacing w:line="200" w:lineRule="exact"/>
              <w:rPr>
                <w:rFonts w:hint="eastAsia" w:ascii="宋体" w:hAnsi="宋体" w:eastAsia="宋体" w:cs="宋体"/>
                <w:spacing w:val="-6"/>
                <w:sz w:val="18"/>
                <w:szCs w:val="18"/>
                <w:lang w:eastAsia="zh-CN"/>
              </w:rPr>
            </w:pPr>
            <w:r>
              <w:rPr>
                <w:rFonts w:hint="eastAsia" w:ascii="宋体" w:hAnsi="宋体" w:cs="宋体"/>
                <w:spacing w:val="-6"/>
                <w:sz w:val="18"/>
                <w:szCs w:val="18"/>
              </w:rPr>
              <w:t>2.开展“双随机、一公开”监管，畅通投诉举报渠道，发现违法违规行为要依法查处并向社会公开结果。</w:t>
            </w:r>
          </w:p>
          <w:p w14:paraId="2B1B05E5">
            <w:pPr>
              <w:spacing w:line="200" w:lineRule="exact"/>
              <w:rPr>
                <w:rFonts w:ascii="宋体" w:hAnsi="宋体" w:cs="宋体"/>
                <w:spacing w:val="-6"/>
                <w:sz w:val="18"/>
                <w:szCs w:val="18"/>
              </w:rPr>
            </w:pPr>
            <w:r>
              <w:rPr>
                <w:rFonts w:hint="eastAsia" w:ascii="宋体" w:hAnsi="宋体" w:cs="宋体"/>
                <w:spacing w:val="-6"/>
                <w:sz w:val="18"/>
                <w:szCs w:val="18"/>
              </w:rPr>
              <w:t>3.依法实施信用监管，如实记录违法失信行为，实施差异化监管等措施。</w:t>
            </w:r>
          </w:p>
        </w:tc>
        <w:tc>
          <w:tcPr>
            <w:tcW w:w="636" w:type="dxa"/>
            <w:tcBorders>
              <w:top w:val="single" w:color="000000" w:sz="4" w:space="0"/>
              <w:left w:val="single" w:color="000000" w:sz="4" w:space="0"/>
              <w:bottom w:val="single" w:color="000000" w:sz="4" w:space="0"/>
              <w:right w:val="single" w:color="000000" w:sz="4" w:space="0"/>
            </w:tcBorders>
            <w:vAlign w:val="center"/>
          </w:tcPr>
          <w:p w14:paraId="226F4A48">
            <w:pPr>
              <w:spacing w:line="220" w:lineRule="exact"/>
              <w:rPr>
                <w:rFonts w:ascii="宋体" w:hAnsi="宋体" w:cs="宋体"/>
                <w:sz w:val="18"/>
                <w:szCs w:val="18"/>
              </w:rPr>
            </w:pPr>
            <w:r>
              <w:rPr>
                <w:rFonts w:hint="eastAsia" w:ascii="宋体" w:hAnsi="宋体" w:cs="宋体"/>
                <w:sz w:val="18"/>
                <w:szCs w:val="18"/>
              </w:rPr>
              <w:t>县级农业行政主管部门将“乡村兽医登记许可”由行政许可事项调整为其他行政权力事项。</w:t>
            </w:r>
          </w:p>
        </w:tc>
      </w:tr>
    </w:tbl>
    <w:p w14:paraId="485657DB">
      <w:pPr>
        <w:spacing w:line="580" w:lineRule="exact"/>
        <w:rPr>
          <w:rFonts w:ascii="仿宋_GB2312" w:hAnsi="仿宋_GB2312" w:eastAsia="仿宋_GB2312" w:cs="仿宋_GB2312"/>
          <w:snapToGrid w:val="0"/>
          <w:kern w:val="0"/>
          <w:sz w:val="32"/>
          <w:szCs w:val="32"/>
        </w:rPr>
      </w:pPr>
    </w:p>
    <w:p w14:paraId="04EC021E">
      <w:pPr>
        <w:spacing w:line="580" w:lineRule="exact"/>
        <w:rPr>
          <w:rFonts w:ascii="仿宋_GB2312" w:hAnsi="仿宋_GB2312" w:eastAsia="仿宋_GB2312" w:cs="仿宋_GB2312"/>
          <w:snapToGrid w:val="0"/>
          <w:kern w:val="0"/>
          <w:sz w:val="32"/>
          <w:szCs w:val="32"/>
        </w:rPr>
      </w:pPr>
    </w:p>
    <w:p w14:paraId="1BEEB724">
      <w:pPr>
        <w:spacing w:line="580" w:lineRule="exact"/>
        <w:rPr>
          <w:rFonts w:ascii="仿宋_GB2312" w:hAnsi="仿宋_GB2312" w:eastAsia="仿宋_GB2312" w:cs="仿宋_GB2312"/>
          <w:snapToGrid w:val="0"/>
          <w:kern w:val="0"/>
          <w:sz w:val="32"/>
          <w:szCs w:val="32"/>
        </w:rPr>
      </w:pPr>
    </w:p>
    <w:p w14:paraId="47E6FDB8">
      <w:pPr>
        <w:spacing w:line="580" w:lineRule="exact"/>
        <w:rPr>
          <w:rFonts w:ascii="仿宋_GB2312" w:hAnsi="仿宋_GB2312" w:eastAsia="仿宋_GB2312" w:cs="仿宋_GB2312"/>
          <w:snapToGrid w:val="0"/>
          <w:kern w:val="0"/>
          <w:sz w:val="32"/>
          <w:szCs w:val="32"/>
        </w:rPr>
      </w:pPr>
    </w:p>
    <w:p w14:paraId="201CD397">
      <w:pPr>
        <w:spacing w:line="580" w:lineRule="exact"/>
        <w:rPr>
          <w:rFonts w:ascii="仿宋_GB2312" w:hAnsi="仿宋_GB2312" w:eastAsia="仿宋_GB2312" w:cs="仿宋_GB2312"/>
          <w:snapToGrid w:val="0"/>
          <w:kern w:val="0"/>
          <w:sz w:val="32"/>
          <w:szCs w:val="32"/>
        </w:rPr>
      </w:pPr>
    </w:p>
    <w:p w14:paraId="0926C75A">
      <w:pPr>
        <w:spacing w:line="580" w:lineRule="exact"/>
        <w:rPr>
          <w:rFonts w:ascii="仿宋_GB2312" w:hAnsi="仿宋_GB2312" w:eastAsia="仿宋_GB2312" w:cs="仿宋_GB2312"/>
          <w:snapToGrid w:val="0"/>
          <w:kern w:val="0"/>
          <w:sz w:val="32"/>
          <w:szCs w:val="32"/>
        </w:rPr>
      </w:pPr>
    </w:p>
    <w:p w14:paraId="41B40C40">
      <w:pPr>
        <w:spacing w:line="580" w:lineRule="exact"/>
        <w:rPr>
          <w:rFonts w:ascii="仿宋_GB2312" w:hAnsi="仿宋_GB2312" w:eastAsia="仿宋_GB2312" w:cs="仿宋_GB2312"/>
          <w:snapToGrid w:val="0"/>
          <w:kern w:val="0"/>
          <w:sz w:val="32"/>
          <w:szCs w:val="32"/>
        </w:rPr>
      </w:pPr>
    </w:p>
    <w:p w14:paraId="078B0FBE">
      <w:pPr>
        <w:spacing w:line="580" w:lineRule="exact"/>
        <w:rPr>
          <w:rFonts w:ascii="仿宋_GB2312" w:hAnsi="仿宋_GB2312" w:eastAsia="仿宋_GB2312" w:cs="仿宋_GB2312"/>
          <w:snapToGrid w:val="0"/>
          <w:kern w:val="0"/>
          <w:sz w:val="32"/>
          <w:szCs w:val="32"/>
        </w:rPr>
      </w:pPr>
    </w:p>
    <w:p w14:paraId="4E01B273">
      <w:pPr>
        <w:spacing w:line="580" w:lineRule="exact"/>
        <w:rPr>
          <w:rFonts w:ascii="仿宋_GB2312" w:hAnsi="仿宋_GB2312" w:eastAsia="仿宋_GB2312" w:cs="仿宋_GB2312"/>
          <w:snapToGrid w:val="0"/>
          <w:kern w:val="0"/>
          <w:sz w:val="32"/>
          <w:szCs w:val="32"/>
        </w:rPr>
      </w:pPr>
    </w:p>
    <w:tbl>
      <w:tblPr>
        <w:tblStyle w:val="9"/>
        <w:tblW w:w="10206" w:type="dxa"/>
        <w:jc w:val="center"/>
        <w:tblLayout w:type="fixed"/>
        <w:tblCellMar>
          <w:top w:w="0" w:type="dxa"/>
          <w:left w:w="108" w:type="dxa"/>
          <w:bottom w:w="0" w:type="dxa"/>
          <w:right w:w="108" w:type="dxa"/>
        </w:tblCellMar>
      </w:tblPr>
      <w:tblGrid>
        <w:gridCol w:w="758"/>
        <w:gridCol w:w="1147"/>
        <w:gridCol w:w="998"/>
        <w:gridCol w:w="966"/>
        <w:gridCol w:w="2869"/>
        <w:gridCol w:w="927"/>
        <w:gridCol w:w="924"/>
        <w:gridCol w:w="1020"/>
        <w:gridCol w:w="470"/>
        <w:gridCol w:w="127"/>
      </w:tblGrid>
      <w:tr w14:paraId="46586038">
        <w:tblPrEx>
          <w:tblCellMar>
            <w:top w:w="0" w:type="dxa"/>
            <w:left w:w="108" w:type="dxa"/>
            <w:bottom w:w="0" w:type="dxa"/>
            <w:right w:w="108" w:type="dxa"/>
          </w:tblCellMar>
        </w:tblPrEx>
        <w:trPr>
          <w:gridAfter w:val="1"/>
          <w:wAfter w:w="127" w:type="dxa"/>
          <w:trHeight w:val="553" w:hRule="atLeast"/>
          <w:jc w:val="center"/>
        </w:trPr>
        <w:tc>
          <w:tcPr>
            <w:tcW w:w="10079" w:type="dxa"/>
            <w:gridSpan w:val="9"/>
            <w:tcBorders>
              <w:top w:val="nil"/>
              <w:left w:val="nil"/>
              <w:bottom w:val="nil"/>
              <w:right w:val="nil"/>
            </w:tcBorders>
            <w:vAlign w:val="center"/>
          </w:tcPr>
          <w:p w14:paraId="209CF083">
            <w:pPr>
              <w:widowControl/>
              <w:jc w:val="left"/>
              <w:textAlignment w:val="center"/>
              <w:rPr>
                <w:rFonts w:ascii="宋体" w:hAnsi="宋体" w:cs="宋体"/>
                <w:b/>
                <w:bCs/>
                <w:color w:val="000000"/>
                <w:kern w:val="0"/>
                <w:sz w:val="22"/>
              </w:rPr>
            </w:pPr>
            <w:r>
              <w:rPr>
                <w:rFonts w:hint="eastAsia" w:ascii="宋体" w:hAnsi="宋体" w:cs="宋体"/>
                <w:color w:val="000000"/>
                <w:kern w:val="0"/>
                <w:sz w:val="28"/>
                <w:szCs w:val="28"/>
              </w:rPr>
              <w:t>附件2:</w:t>
            </w:r>
          </w:p>
        </w:tc>
      </w:tr>
      <w:tr w14:paraId="111F3A2A">
        <w:tblPrEx>
          <w:tblCellMar>
            <w:top w:w="0" w:type="dxa"/>
            <w:left w:w="108" w:type="dxa"/>
            <w:bottom w:w="0" w:type="dxa"/>
            <w:right w:w="108" w:type="dxa"/>
          </w:tblCellMar>
        </w:tblPrEx>
        <w:trPr>
          <w:gridAfter w:val="1"/>
          <w:wAfter w:w="127" w:type="dxa"/>
          <w:trHeight w:val="747" w:hRule="atLeast"/>
          <w:jc w:val="center"/>
        </w:trPr>
        <w:tc>
          <w:tcPr>
            <w:tcW w:w="10079" w:type="dxa"/>
            <w:gridSpan w:val="9"/>
            <w:tcBorders>
              <w:top w:val="nil"/>
              <w:left w:val="nil"/>
              <w:bottom w:val="single" w:color="000000" w:sz="4" w:space="0"/>
              <w:right w:val="nil"/>
            </w:tcBorders>
            <w:vAlign w:val="center"/>
          </w:tcPr>
          <w:p w14:paraId="162C775D">
            <w:pPr>
              <w:widowControl/>
              <w:spacing w:line="480" w:lineRule="exact"/>
              <w:jc w:val="center"/>
              <w:textAlignment w:val="center"/>
              <w:rPr>
                <w:rFonts w:ascii="黑体" w:hAnsi="黑体" w:eastAsia="黑体" w:cs="方正小标宋简体"/>
                <w:color w:val="000000"/>
                <w:kern w:val="0"/>
                <w:sz w:val="32"/>
                <w:szCs w:val="32"/>
              </w:rPr>
            </w:pPr>
            <w:r>
              <w:rPr>
                <w:rFonts w:hint="eastAsia" w:ascii="黑体" w:hAnsi="黑体" w:eastAsia="黑体" w:cs="方正小标宋简体"/>
                <w:color w:val="000000"/>
                <w:kern w:val="0"/>
                <w:sz w:val="32"/>
                <w:szCs w:val="32"/>
              </w:rPr>
              <w:t>2021年县政府承接调整一批行政职权事项目录</w:t>
            </w:r>
          </w:p>
          <w:p w14:paraId="5638949C">
            <w:pPr>
              <w:widowControl/>
              <w:spacing w:line="480" w:lineRule="exact"/>
              <w:jc w:val="center"/>
              <w:textAlignment w:val="center"/>
              <w:rPr>
                <w:rFonts w:ascii="宋体" w:hAnsi="宋体" w:cs="宋体"/>
                <w:b/>
                <w:bCs/>
                <w:color w:val="000000"/>
                <w:kern w:val="0"/>
                <w:sz w:val="22"/>
              </w:rPr>
            </w:pPr>
            <w:r>
              <w:rPr>
                <w:rFonts w:hint="eastAsia" w:ascii="黑体" w:hAnsi="黑体" w:eastAsia="黑体" w:cs="方正小标宋简体"/>
                <w:color w:val="000000"/>
                <w:kern w:val="0"/>
                <w:sz w:val="32"/>
                <w:szCs w:val="32"/>
              </w:rPr>
              <w:t>（共计24项）</w:t>
            </w:r>
          </w:p>
        </w:tc>
      </w:tr>
      <w:tr w14:paraId="79A312B2">
        <w:tblPrEx>
          <w:tblCellMar>
            <w:top w:w="0" w:type="dxa"/>
            <w:left w:w="108" w:type="dxa"/>
            <w:bottom w:w="0" w:type="dxa"/>
            <w:right w:w="108" w:type="dxa"/>
          </w:tblCellMar>
        </w:tblPrEx>
        <w:trPr>
          <w:trHeight w:val="463" w:hRule="atLeast"/>
          <w:jc w:val="center"/>
        </w:trPr>
        <w:tc>
          <w:tcPr>
            <w:tcW w:w="758" w:type="dxa"/>
            <w:vMerge w:val="restart"/>
            <w:tcBorders>
              <w:top w:val="single" w:color="000000" w:sz="4" w:space="0"/>
              <w:left w:val="single" w:color="000000" w:sz="4" w:space="0"/>
              <w:bottom w:val="single" w:color="000000" w:sz="4" w:space="0"/>
              <w:right w:val="single" w:color="000000" w:sz="4" w:space="0"/>
            </w:tcBorders>
            <w:vAlign w:val="center"/>
          </w:tcPr>
          <w:p w14:paraId="36BD2844">
            <w:pPr>
              <w:widowControl/>
              <w:jc w:val="center"/>
              <w:textAlignment w:val="center"/>
              <w:rPr>
                <w:rFonts w:ascii="宋体" w:hAnsi="宋体" w:cs="宋体"/>
                <w:b/>
                <w:bCs/>
                <w:color w:val="000000"/>
                <w:sz w:val="22"/>
              </w:rPr>
            </w:pPr>
            <w:r>
              <w:rPr>
                <w:rFonts w:hint="eastAsia" w:ascii="宋体" w:hAnsi="宋体" w:cs="宋体"/>
                <w:b/>
                <w:bCs/>
                <w:color w:val="000000"/>
                <w:kern w:val="0"/>
                <w:sz w:val="22"/>
              </w:rPr>
              <w:t>序号</w:t>
            </w:r>
          </w:p>
        </w:tc>
        <w:tc>
          <w:tcPr>
            <w:tcW w:w="2145" w:type="dxa"/>
            <w:gridSpan w:val="2"/>
            <w:tcBorders>
              <w:top w:val="single" w:color="000000" w:sz="4" w:space="0"/>
              <w:left w:val="single" w:color="000000" w:sz="4" w:space="0"/>
              <w:bottom w:val="single" w:color="000000" w:sz="4" w:space="0"/>
              <w:right w:val="single" w:color="000000" w:sz="4" w:space="0"/>
            </w:tcBorders>
            <w:vAlign w:val="center"/>
          </w:tcPr>
          <w:p w14:paraId="23501A4D">
            <w:pPr>
              <w:widowControl/>
              <w:jc w:val="center"/>
              <w:textAlignment w:val="center"/>
              <w:rPr>
                <w:rFonts w:ascii="宋体" w:hAnsi="宋体" w:cs="宋体"/>
                <w:b/>
                <w:bCs/>
                <w:color w:val="000000"/>
                <w:sz w:val="22"/>
              </w:rPr>
            </w:pPr>
            <w:r>
              <w:rPr>
                <w:rFonts w:hint="eastAsia" w:ascii="宋体" w:hAnsi="宋体" w:cs="宋体"/>
                <w:b/>
                <w:bCs/>
                <w:color w:val="000000"/>
                <w:kern w:val="0"/>
                <w:sz w:val="22"/>
              </w:rPr>
              <w:t>事项名称</w:t>
            </w:r>
          </w:p>
        </w:tc>
        <w:tc>
          <w:tcPr>
            <w:tcW w:w="966" w:type="dxa"/>
            <w:vMerge w:val="restart"/>
            <w:tcBorders>
              <w:top w:val="single" w:color="000000" w:sz="4" w:space="0"/>
              <w:left w:val="single" w:color="000000" w:sz="4" w:space="0"/>
              <w:right w:val="single" w:color="000000" w:sz="4" w:space="0"/>
            </w:tcBorders>
            <w:vAlign w:val="center"/>
          </w:tcPr>
          <w:p w14:paraId="3A0C5E2C">
            <w:pPr>
              <w:widowControl/>
              <w:jc w:val="center"/>
              <w:textAlignment w:val="center"/>
              <w:rPr>
                <w:rFonts w:ascii="宋体" w:hAnsi="宋体" w:cs="宋体"/>
                <w:b/>
                <w:bCs/>
                <w:color w:val="000000"/>
                <w:sz w:val="22"/>
              </w:rPr>
            </w:pPr>
            <w:r>
              <w:rPr>
                <w:rFonts w:hint="eastAsia" w:ascii="宋体" w:hAnsi="宋体" w:cs="宋体"/>
                <w:b/>
                <w:bCs/>
                <w:color w:val="000000"/>
                <w:kern w:val="0"/>
                <w:sz w:val="22"/>
              </w:rPr>
              <w:t>事项类型</w:t>
            </w:r>
          </w:p>
        </w:tc>
        <w:tc>
          <w:tcPr>
            <w:tcW w:w="2869" w:type="dxa"/>
            <w:vMerge w:val="restart"/>
            <w:tcBorders>
              <w:top w:val="single" w:color="000000" w:sz="4" w:space="0"/>
              <w:left w:val="single" w:color="000000" w:sz="4" w:space="0"/>
              <w:right w:val="single" w:color="000000" w:sz="4" w:space="0"/>
            </w:tcBorders>
            <w:vAlign w:val="center"/>
          </w:tcPr>
          <w:p w14:paraId="38B1375D">
            <w:pPr>
              <w:widowControl/>
              <w:jc w:val="center"/>
              <w:textAlignment w:val="center"/>
              <w:rPr>
                <w:rFonts w:ascii="宋体" w:hAnsi="宋体" w:cs="宋体"/>
                <w:b/>
                <w:bCs/>
                <w:color w:val="000000"/>
                <w:sz w:val="22"/>
              </w:rPr>
            </w:pPr>
            <w:r>
              <w:rPr>
                <w:rFonts w:hint="eastAsia" w:ascii="宋体" w:hAnsi="宋体" w:cs="宋体"/>
                <w:b/>
                <w:bCs/>
                <w:color w:val="000000"/>
                <w:kern w:val="0"/>
                <w:sz w:val="22"/>
              </w:rPr>
              <w:t>设定依据</w:t>
            </w:r>
          </w:p>
        </w:tc>
        <w:tc>
          <w:tcPr>
            <w:tcW w:w="927" w:type="dxa"/>
            <w:vMerge w:val="restart"/>
            <w:tcBorders>
              <w:top w:val="single" w:color="000000" w:sz="4" w:space="0"/>
              <w:left w:val="single" w:color="000000" w:sz="4" w:space="0"/>
              <w:right w:val="single" w:color="000000" w:sz="4" w:space="0"/>
            </w:tcBorders>
            <w:vAlign w:val="center"/>
          </w:tcPr>
          <w:p w14:paraId="3B5F1109">
            <w:pPr>
              <w:widowControl/>
              <w:jc w:val="center"/>
              <w:textAlignment w:val="center"/>
              <w:rPr>
                <w:rFonts w:ascii="宋体" w:hAnsi="宋体" w:cs="宋体"/>
                <w:b/>
                <w:bCs/>
                <w:color w:val="000000"/>
                <w:sz w:val="22"/>
              </w:rPr>
            </w:pPr>
            <w:r>
              <w:rPr>
                <w:rFonts w:hint="eastAsia" w:ascii="宋体" w:hAnsi="宋体" w:cs="宋体"/>
                <w:b/>
                <w:bCs/>
                <w:color w:val="000000"/>
                <w:kern w:val="0"/>
                <w:sz w:val="22"/>
              </w:rPr>
              <w:t>实施部门</w:t>
            </w:r>
          </w:p>
        </w:tc>
        <w:tc>
          <w:tcPr>
            <w:tcW w:w="924" w:type="dxa"/>
            <w:vMerge w:val="restart"/>
            <w:tcBorders>
              <w:top w:val="single" w:color="000000" w:sz="4" w:space="0"/>
              <w:left w:val="single" w:color="000000" w:sz="4" w:space="0"/>
              <w:right w:val="single" w:color="000000" w:sz="4" w:space="0"/>
            </w:tcBorders>
            <w:vAlign w:val="center"/>
          </w:tcPr>
          <w:p w14:paraId="0DC5B965">
            <w:pPr>
              <w:widowControl/>
              <w:jc w:val="center"/>
              <w:textAlignment w:val="center"/>
              <w:rPr>
                <w:rFonts w:ascii="宋体" w:hAnsi="宋体" w:cs="宋体"/>
                <w:b/>
                <w:bCs/>
                <w:color w:val="000000"/>
                <w:sz w:val="22"/>
              </w:rPr>
            </w:pPr>
            <w:r>
              <w:rPr>
                <w:rFonts w:hint="eastAsia" w:ascii="宋体" w:hAnsi="宋体" w:cs="宋体"/>
                <w:b/>
                <w:bCs/>
                <w:color w:val="000000"/>
                <w:kern w:val="0"/>
                <w:sz w:val="22"/>
              </w:rPr>
              <w:t>改革方式</w:t>
            </w:r>
          </w:p>
        </w:tc>
        <w:tc>
          <w:tcPr>
            <w:tcW w:w="1020" w:type="dxa"/>
            <w:vMerge w:val="restart"/>
            <w:tcBorders>
              <w:top w:val="single" w:color="000000" w:sz="4" w:space="0"/>
              <w:left w:val="single" w:color="000000" w:sz="4" w:space="0"/>
              <w:right w:val="single" w:color="000000" w:sz="4" w:space="0"/>
            </w:tcBorders>
            <w:vAlign w:val="center"/>
          </w:tcPr>
          <w:p w14:paraId="1C8F8AED">
            <w:pPr>
              <w:widowControl/>
              <w:jc w:val="center"/>
              <w:textAlignment w:val="center"/>
              <w:rPr>
                <w:rFonts w:ascii="宋体" w:hAnsi="宋体" w:cs="宋体"/>
                <w:b/>
                <w:bCs/>
                <w:color w:val="000000"/>
                <w:sz w:val="22"/>
              </w:rPr>
            </w:pPr>
            <w:r>
              <w:rPr>
                <w:rFonts w:hint="eastAsia" w:ascii="宋体" w:hAnsi="宋体" w:cs="宋体"/>
                <w:b/>
                <w:bCs/>
                <w:color w:val="000000"/>
                <w:kern w:val="0"/>
                <w:sz w:val="22"/>
              </w:rPr>
              <w:t>加强事中事后监管措施</w:t>
            </w:r>
          </w:p>
        </w:tc>
        <w:tc>
          <w:tcPr>
            <w:tcW w:w="597" w:type="dxa"/>
            <w:gridSpan w:val="2"/>
            <w:vMerge w:val="restart"/>
            <w:tcBorders>
              <w:top w:val="single" w:color="000000" w:sz="4" w:space="0"/>
              <w:left w:val="single" w:color="000000" w:sz="4" w:space="0"/>
              <w:right w:val="single" w:color="000000" w:sz="4" w:space="0"/>
            </w:tcBorders>
            <w:vAlign w:val="center"/>
          </w:tcPr>
          <w:p w14:paraId="5EA08A8E">
            <w:pPr>
              <w:widowControl/>
              <w:jc w:val="center"/>
              <w:textAlignment w:val="center"/>
              <w:rPr>
                <w:rFonts w:ascii="宋体" w:hAnsi="宋体" w:cs="宋体"/>
                <w:b/>
                <w:bCs/>
                <w:color w:val="000000"/>
                <w:sz w:val="22"/>
              </w:rPr>
            </w:pPr>
            <w:r>
              <w:rPr>
                <w:rFonts w:hint="eastAsia" w:ascii="宋体" w:hAnsi="宋体" w:cs="宋体"/>
                <w:b/>
                <w:bCs/>
                <w:color w:val="000000"/>
                <w:kern w:val="0"/>
                <w:sz w:val="22"/>
              </w:rPr>
              <w:t>备注</w:t>
            </w:r>
          </w:p>
        </w:tc>
      </w:tr>
      <w:tr w14:paraId="336D396B">
        <w:tblPrEx>
          <w:tblCellMar>
            <w:top w:w="0" w:type="dxa"/>
            <w:left w:w="108" w:type="dxa"/>
            <w:bottom w:w="0" w:type="dxa"/>
            <w:right w:w="108" w:type="dxa"/>
          </w:tblCellMar>
        </w:tblPrEx>
        <w:trPr>
          <w:trHeight w:val="421" w:hRule="atLeast"/>
          <w:jc w:val="center"/>
        </w:trPr>
        <w:tc>
          <w:tcPr>
            <w:tcW w:w="758" w:type="dxa"/>
            <w:vMerge w:val="continue"/>
            <w:tcBorders>
              <w:top w:val="single" w:color="000000" w:sz="4" w:space="0"/>
              <w:left w:val="single" w:color="000000" w:sz="4" w:space="0"/>
              <w:bottom w:val="single" w:color="000000" w:sz="4" w:space="0"/>
              <w:right w:val="single" w:color="000000" w:sz="4" w:space="0"/>
            </w:tcBorders>
            <w:vAlign w:val="center"/>
          </w:tcPr>
          <w:p w14:paraId="2468E221">
            <w:pPr>
              <w:jc w:val="center"/>
              <w:rPr>
                <w:rFonts w:ascii="宋体" w:hAnsi="宋体" w:cs="宋体"/>
                <w:b/>
                <w:bCs/>
                <w:color w:val="000000"/>
                <w:sz w:val="22"/>
              </w:rPr>
            </w:pPr>
          </w:p>
        </w:tc>
        <w:tc>
          <w:tcPr>
            <w:tcW w:w="1147" w:type="dxa"/>
            <w:tcBorders>
              <w:top w:val="single" w:color="000000" w:sz="4" w:space="0"/>
              <w:left w:val="single" w:color="000000" w:sz="4" w:space="0"/>
              <w:bottom w:val="single" w:color="000000" w:sz="4" w:space="0"/>
              <w:right w:val="single" w:color="000000" w:sz="4" w:space="0"/>
            </w:tcBorders>
            <w:vAlign w:val="center"/>
          </w:tcPr>
          <w:p w14:paraId="2BAA13E0">
            <w:pPr>
              <w:widowControl/>
              <w:jc w:val="center"/>
              <w:textAlignment w:val="center"/>
              <w:rPr>
                <w:rFonts w:ascii="宋体" w:hAnsi="宋体" w:cs="宋体"/>
                <w:b/>
                <w:bCs/>
                <w:color w:val="000000"/>
                <w:sz w:val="22"/>
              </w:rPr>
            </w:pPr>
            <w:r>
              <w:rPr>
                <w:rFonts w:hint="eastAsia" w:ascii="宋体" w:hAnsi="宋体" w:cs="宋体"/>
                <w:b/>
                <w:bCs/>
                <w:color w:val="000000"/>
                <w:kern w:val="0"/>
                <w:sz w:val="22"/>
              </w:rPr>
              <w:t>主项名称</w:t>
            </w:r>
          </w:p>
        </w:tc>
        <w:tc>
          <w:tcPr>
            <w:tcW w:w="998" w:type="dxa"/>
            <w:tcBorders>
              <w:top w:val="single" w:color="000000" w:sz="4" w:space="0"/>
              <w:left w:val="single" w:color="000000" w:sz="4" w:space="0"/>
              <w:bottom w:val="single" w:color="000000" w:sz="4" w:space="0"/>
              <w:right w:val="single" w:color="000000" w:sz="4" w:space="0"/>
            </w:tcBorders>
            <w:vAlign w:val="center"/>
          </w:tcPr>
          <w:p w14:paraId="245D3471">
            <w:pPr>
              <w:widowControl/>
              <w:jc w:val="center"/>
              <w:textAlignment w:val="center"/>
              <w:rPr>
                <w:rFonts w:ascii="宋体" w:hAnsi="宋体" w:cs="宋体"/>
                <w:b/>
                <w:bCs/>
                <w:color w:val="000000"/>
                <w:sz w:val="22"/>
              </w:rPr>
            </w:pPr>
            <w:r>
              <w:rPr>
                <w:rFonts w:hint="eastAsia" w:ascii="宋体" w:hAnsi="宋体" w:cs="宋体"/>
                <w:b/>
                <w:bCs/>
                <w:color w:val="000000"/>
                <w:kern w:val="0"/>
                <w:sz w:val="22"/>
              </w:rPr>
              <w:t>子项名称</w:t>
            </w:r>
          </w:p>
        </w:tc>
        <w:tc>
          <w:tcPr>
            <w:tcW w:w="966" w:type="dxa"/>
            <w:vMerge w:val="continue"/>
            <w:tcBorders>
              <w:left w:val="single" w:color="000000" w:sz="4" w:space="0"/>
              <w:right w:val="single" w:color="000000" w:sz="4" w:space="0"/>
            </w:tcBorders>
            <w:vAlign w:val="center"/>
          </w:tcPr>
          <w:p w14:paraId="1BCCE60C">
            <w:pPr>
              <w:jc w:val="center"/>
              <w:rPr>
                <w:rFonts w:ascii="宋体" w:hAnsi="宋体" w:cs="宋体"/>
                <w:b/>
                <w:bCs/>
                <w:color w:val="000000"/>
                <w:sz w:val="22"/>
              </w:rPr>
            </w:pPr>
          </w:p>
        </w:tc>
        <w:tc>
          <w:tcPr>
            <w:tcW w:w="2869" w:type="dxa"/>
            <w:vMerge w:val="continue"/>
            <w:tcBorders>
              <w:left w:val="single" w:color="000000" w:sz="4" w:space="0"/>
              <w:right w:val="single" w:color="000000" w:sz="4" w:space="0"/>
            </w:tcBorders>
            <w:vAlign w:val="center"/>
          </w:tcPr>
          <w:p w14:paraId="390C8061">
            <w:pPr>
              <w:jc w:val="center"/>
              <w:rPr>
                <w:rFonts w:ascii="宋体" w:hAnsi="宋体" w:cs="宋体"/>
                <w:b/>
                <w:bCs/>
                <w:color w:val="000000"/>
                <w:sz w:val="22"/>
              </w:rPr>
            </w:pPr>
          </w:p>
        </w:tc>
        <w:tc>
          <w:tcPr>
            <w:tcW w:w="927" w:type="dxa"/>
            <w:vMerge w:val="continue"/>
            <w:tcBorders>
              <w:left w:val="single" w:color="000000" w:sz="4" w:space="0"/>
              <w:right w:val="single" w:color="000000" w:sz="4" w:space="0"/>
            </w:tcBorders>
            <w:vAlign w:val="center"/>
          </w:tcPr>
          <w:p w14:paraId="3EC7582F">
            <w:pPr>
              <w:jc w:val="center"/>
              <w:rPr>
                <w:rFonts w:ascii="宋体" w:hAnsi="宋体" w:cs="宋体"/>
                <w:b/>
                <w:bCs/>
                <w:color w:val="000000"/>
                <w:sz w:val="22"/>
              </w:rPr>
            </w:pPr>
          </w:p>
        </w:tc>
        <w:tc>
          <w:tcPr>
            <w:tcW w:w="924" w:type="dxa"/>
            <w:vMerge w:val="continue"/>
            <w:tcBorders>
              <w:left w:val="single" w:color="000000" w:sz="4" w:space="0"/>
              <w:right w:val="single" w:color="000000" w:sz="4" w:space="0"/>
            </w:tcBorders>
            <w:vAlign w:val="center"/>
          </w:tcPr>
          <w:p w14:paraId="3FCF0977">
            <w:pPr>
              <w:jc w:val="center"/>
              <w:rPr>
                <w:rFonts w:ascii="宋体" w:hAnsi="宋体" w:cs="宋体"/>
                <w:b/>
                <w:bCs/>
                <w:color w:val="000000"/>
                <w:sz w:val="22"/>
              </w:rPr>
            </w:pPr>
          </w:p>
        </w:tc>
        <w:tc>
          <w:tcPr>
            <w:tcW w:w="1020" w:type="dxa"/>
            <w:vMerge w:val="continue"/>
            <w:tcBorders>
              <w:left w:val="single" w:color="000000" w:sz="4" w:space="0"/>
              <w:right w:val="single" w:color="000000" w:sz="4" w:space="0"/>
            </w:tcBorders>
            <w:vAlign w:val="center"/>
          </w:tcPr>
          <w:p w14:paraId="4FDAC6EC">
            <w:pPr>
              <w:jc w:val="center"/>
              <w:rPr>
                <w:rFonts w:ascii="宋体" w:hAnsi="宋体" w:cs="宋体"/>
                <w:b/>
                <w:bCs/>
                <w:color w:val="000000"/>
                <w:sz w:val="22"/>
              </w:rPr>
            </w:pPr>
          </w:p>
        </w:tc>
        <w:tc>
          <w:tcPr>
            <w:tcW w:w="597" w:type="dxa"/>
            <w:gridSpan w:val="2"/>
            <w:vMerge w:val="continue"/>
            <w:tcBorders>
              <w:left w:val="single" w:color="000000" w:sz="4" w:space="0"/>
              <w:right w:val="single" w:color="000000" w:sz="4" w:space="0"/>
            </w:tcBorders>
            <w:vAlign w:val="center"/>
          </w:tcPr>
          <w:p w14:paraId="484655B3">
            <w:pPr>
              <w:jc w:val="center"/>
              <w:rPr>
                <w:rFonts w:ascii="宋体" w:hAnsi="宋体" w:cs="宋体"/>
                <w:b/>
                <w:bCs/>
                <w:color w:val="000000"/>
                <w:sz w:val="22"/>
              </w:rPr>
            </w:pPr>
          </w:p>
        </w:tc>
      </w:tr>
      <w:tr w14:paraId="6112C976">
        <w:tblPrEx>
          <w:tblCellMar>
            <w:top w:w="0" w:type="dxa"/>
            <w:left w:w="108" w:type="dxa"/>
            <w:bottom w:w="0" w:type="dxa"/>
            <w:right w:w="108" w:type="dxa"/>
          </w:tblCellMar>
        </w:tblPrEx>
        <w:trPr>
          <w:trHeight w:val="90" w:hRule="atLeast"/>
          <w:jc w:val="center"/>
        </w:trPr>
        <w:tc>
          <w:tcPr>
            <w:tcW w:w="758" w:type="dxa"/>
            <w:tcBorders>
              <w:top w:val="single" w:color="000000" w:sz="4" w:space="0"/>
              <w:left w:val="single" w:color="000000" w:sz="4" w:space="0"/>
              <w:bottom w:val="single" w:color="000000" w:sz="4" w:space="0"/>
              <w:right w:val="single" w:color="000000" w:sz="4" w:space="0"/>
            </w:tcBorders>
            <w:vAlign w:val="center"/>
          </w:tcPr>
          <w:p w14:paraId="3C22EC79">
            <w:pPr>
              <w:widowControl/>
              <w:spacing w:line="240" w:lineRule="exact"/>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1147" w:type="dxa"/>
            <w:tcBorders>
              <w:top w:val="single" w:color="000000" w:sz="4" w:space="0"/>
              <w:left w:val="single" w:color="000000" w:sz="4" w:space="0"/>
              <w:bottom w:val="single" w:color="000000" w:sz="4" w:space="0"/>
              <w:right w:val="single" w:color="000000" w:sz="4" w:space="0"/>
            </w:tcBorders>
            <w:vAlign w:val="center"/>
          </w:tcPr>
          <w:p w14:paraId="0604CFFE">
            <w:pPr>
              <w:widowControl/>
              <w:spacing w:line="240" w:lineRule="exact"/>
              <w:jc w:val="left"/>
              <w:textAlignment w:val="center"/>
              <w:rPr>
                <w:rFonts w:ascii="宋体" w:hAnsi="宋体" w:cs="宋体"/>
                <w:color w:val="000000"/>
                <w:sz w:val="18"/>
                <w:szCs w:val="18"/>
              </w:rPr>
            </w:pPr>
            <w:r>
              <w:rPr>
                <w:rFonts w:hint="eastAsia" w:ascii="宋体" w:hAnsi="宋体" w:cs="宋体"/>
                <w:color w:val="000000"/>
                <w:kern w:val="0"/>
                <w:sz w:val="18"/>
                <w:szCs w:val="18"/>
              </w:rPr>
              <w:t>企业、事业单位、社会团体等投资建设的固定资产项目备案</w:t>
            </w:r>
          </w:p>
        </w:tc>
        <w:tc>
          <w:tcPr>
            <w:tcW w:w="998" w:type="dxa"/>
            <w:tcBorders>
              <w:top w:val="single" w:color="000000" w:sz="4" w:space="0"/>
              <w:left w:val="single" w:color="000000" w:sz="4" w:space="0"/>
              <w:bottom w:val="single" w:color="000000" w:sz="4" w:space="0"/>
              <w:right w:val="single" w:color="000000" w:sz="4" w:space="0"/>
            </w:tcBorders>
            <w:vAlign w:val="center"/>
          </w:tcPr>
          <w:p w14:paraId="5071B549">
            <w:pPr>
              <w:widowControl/>
              <w:spacing w:line="240" w:lineRule="exact"/>
              <w:jc w:val="left"/>
              <w:textAlignment w:val="center"/>
              <w:rPr>
                <w:rFonts w:ascii="宋体" w:hAnsi="宋体" w:cs="宋体"/>
                <w:color w:val="000000"/>
                <w:sz w:val="18"/>
                <w:szCs w:val="18"/>
              </w:rPr>
            </w:pPr>
            <w:r>
              <w:rPr>
                <w:rFonts w:hint="eastAsia" w:ascii="宋体" w:hAnsi="宋体" w:cs="宋体"/>
                <w:color w:val="000000"/>
                <w:kern w:val="0"/>
                <w:sz w:val="18"/>
                <w:szCs w:val="18"/>
              </w:rPr>
              <w:t>4.新建专用汽车企业投资项目备案</w:t>
            </w:r>
          </w:p>
        </w:tc>
        <w:tc>
          <w:tcPr>
            <w:tcW w:w="966" w:type="dxa"/>
            <w:tcBorders>
              <w:top w:val="single" w:color="000000" w:sz="4" w:space="0"/>
              <w:left w:val="single" w:color="000000" w:sz="4" w:space="0"/>
              <w:bottom w:val="single" w:color="000000" w:sz="4" w:space="0"/>
              <w:right w:val="single" w:color="000000" w:sz="4" w:space="0"/>
            </w:tcBorders>
            <w:vAlign w:val="center"/>
          </w:tcPr>
          <w:p w14:paraId="1B955BDC">
            <w:pPr>
              <w:widowControl/>
              <w:spacing w:line="240" w:lineRule="exact"/>
              <w:jc w:val="center"/>
              <w:textAlignment w:val="center"/>
              <w:rPr>
                <w:rFonts w:ascii="宋体" w:hAnsi="宋体" w:cs="宋体"/>
                <w:color w:val="000000"/>
                <w:sz w:val="18"/>
                <w:szCs w:val="18"/>
              </w:rPr>
            </w:pPr>
            <w:r>
              <w:rPr>
                <w:rFonts w:hint="eastAsia" w:ascii="宋体" w:hAnsi="宋体" w:cs="宋体"/>
                <w:color w:val="000000"/>
                <w:kern w:val="0"/>
                <w:sz w:val="18"/>
                <w:szCs w:val="18"/>
              </w:rPr>
              <w:t>其他行政权力</w:t>
            </w:r>
          </w:p>
        </w:tc>
        <w:tc>
          <w:tcPr>
            <w:tcW w:w="2869" w:type="dxa"/>
            <w:tcBorders>
              <w:top w:val="single" w:color="000000" w:sz="4" w:space="0"/>
              <w:left w:val="single" w:color="000000" w:sz="4" w:space="0"/>
              <w:bottom w:val="single" w:color="000000" w:sz="4" w:space="0"/>
              <w:right w:val="single" w:color="000000" w:sz="4" w:space="0"/>
            </w:tcBorders>
            <w:vAlign w:val="center"/>
          </w:tcPr>
          <w:p w14:paraId="6D6269E2">
            <w:pPr>
              <w:widowControl/>
              <w:spacing w:line="230" w:lineRule="exact"/>
              <w:jc w:val="left"/>
              <w:textAlignment w:val="center"/>
              <w:rPr>
                <w:rFonts w:hint="eastAsia" w:ascii="宋体" w:hAnsi="宋体" w:eastAsia="宋体" w:cs="宋体"/>
                <w:sz w:val="18"/>
                <w:szCs w:val="18"/>
                <w:lang w:eastAsia="zh-CN"/>
              </w:rPr>
            </w:pPr>
            <w:r>
              <w:rPr>
                <w:rFonts w:hint="eastAsia" w:ascii="宋体" w:hAnsi="宋体" w:cs="宋体"/>
                <w:color w:val="000000"/>
                <w:kern w:val="0"/>
                <w:sz w:val="18"/>
                <w:szCs w:val="18"/>
              </w:rPr>
              <w:t>【行政法规】《企业投资项目核准和备案管理条例》（201</w:t>
            </w:r>
            <w:r>
              <w:rPr>
                <w:rFonts w:hint="eastAsia" w:ascii="宋体" w:hAnsi="宋体" w:cs="宋体"/>
                <w:sz w:val="18"/>
                <w:szCs w:val="18"/>
              </w:rPr>
              <w:t>6年12月14日国务院令第673号）</w:t>
            </w:r>
          </w:p>
          <w:p w14:paraId="401FD302">
            <w:pPr>
              <w:widowControl/>
              <w:spacing w:line="230" w:lineRule="exact"/>
              <w:jc w:val="left"/>
              <w:textAlignment w:val="center"/>
              <w:rPr>
                <w:rFonts w:hint="eastAsia" w:ascii="宋体" w:hAnsi="宋体" w:eastAsia="宋体" w:cs="宋体"/>
                <w:sz w:val="18"/>
                <w:szCs w:val="18"/>
                <w:lang w:eastAsia="zh-CN"/>
              </w:rPr>
            </w:pPr>
            <w:r>
              <w:rPr>
                <w:rFonts w:hint="eastAsia" w:ascii="宋体" w:hAnsi="宋体" w:cs="宋体"/>
                <w:sz w:val="18"/>
                <w:szCs w:val="18"/>
              </w:rPr>
              <w:t>第三条　对关系国家安全、涉及全国重大生产力布局、战略性资源开发和重大公共利益等项目，实行核准管理。具体项目范围以及核准机关、核准权限依照政府核准的投资项目目录执行。政府核准的投资项目目录由国务院投资主管部门会同国务院有关部门提出，报国务院批准后实施，并适时调整。国务院另有规定的，依照其规定。对前款规定以外的项目，实行备案管理。对前款规定以外的项目，实行备案管理。除国务院另有规定的，实行备案管理的项目按照属地原则备案，备案机关及其权限由省、自治区、直辖市和计划单列市人民政府规定。</w:t>
            </w:r>
          </w:p>
          <w:p w14:paraId="7469DA2B">
            <w:pPr>
              <w:widowControl/>
              <w:spacing w:line="230" w:lineRule="exact"/>
              <w:jc w:val="left"/>
              <w:textAlignment w:val="center"/>
              <w:rPr>
                <w:rFonts w:hint="eastAsia" w:ascii="宋体" w:hAnsi="宋体" w:eastAsia="宋体" w:cs="宋体"/>
                <w:color w:val="000000"/>
                <w:spacing w:val="-6"/>
                <w:kern w:val="0"/>
                <w:sz w:val="18"/>
                <w:szCs w:val="18"/>
                <w:lang w:eastAsia="zh-CN"/>
              </w:rPr>
            </w:pPr>
            <w:r>
              <w:rPr>
                <w:rFonts w:hint="eastAsia" w:ascii="宋体" w:hAnsi="宋体" w:cs="宋体"/>
                <w:spacing w:val="-6"/>
                <w:sz w:val="18"/>
                <w:szCs w:val="18"/>
              </w:rPr>
              <w:t>【部门规章】《企业投资项目核准和备案管理办法（国家发展和改革委员会 2017年第2号令）》第四条：对关系国家安全、涉及全国重大生产力布局、战略性资源开发和重</w:t>
            </w:r>
            <w:r>
              <w:rPr>
                <w:rFonts w:hint="eastAsia" w:ascii="宋体" w:hAnsi="宋体" w:cs="宋体"/>
                <w:color w:val="000000"/>
                <w:spacing w:val="-6"/>
                <w:kern w:val="0"/>
                <w:sz w:val="18"/>
                <w:szCs w:val="18"/>
              </w:rPr>
              <w:t>大公共利益等项目，实行核准管理。《汽车产业投资管理规定》（2018年12月10日国家发展和改革委令第22号）第一章 第六条 汽车整车和其他投资项目均由地方发展改革部门实施备案管理。其中，汽车整车投资项目由省级发展改革部门备案。</w:t>
            </w:r>
          </w:p>
          <w:p w14:paraId="3045E95C">
            <w:pPr>
              <w:widowControl/>
              <w:spacing w:line="230" w:lineRule="exact"/>
              <w:jc w:val="left"/>
              <w:textAlignment w:val="center"/>
              <w:rPr>
                <w:rFonts w:ascii="宋体" w:hAnsi="宋体" w:cs="宋体"/>
                <w:color w:val="000000"/>
                <w:sz w:val="18"/>
                <w:szCs w:val="18"/>
              </w:rPr>
            </w:pPr>
            <w:r>
              <w:rPr>
                <w:rFonts w:hint="eastAsia" w:ascii="宋体" w:hAnsi="宋体" w:cs="宋体"/>
                <w:color w:val="000000"/>
                <w:kern w:val="0"/>
                <w:sz w:val="18"/>
                <w:szCs w:val="18"/>
              </w:rPr>
              <w:t>【规范性文件】《辽宁省人民政府关于取消下放调整一批行政职权事项的决定》（辽政发〔2019〕16号）下放到市级发展改革部门实施。</w:t>
            </w:r>
          </w:p>
        </w:tc>
        <w:tc>
          <w:tcPr>
            <w:tcW w:w="927" w:type="dxa"/>
            <w:tcBorders>
              <w:top w:val="single" w:color="000000" w:sz="4" w:space="0"/>
              <w:left w:val="single" w:color="000000" w:sz="4" w:space="0"/>
              <w:bottom w:val="single" w:color="000000" w:sz="4" w:space="0"/>
              <w:right w:val="single" w:color="000000" w:sz="4" w:space="0"/>
            </w:tcBorders>
            <w:vAlign w:val="center"/>
          </w:tcPr>
          <w:p w14:paraId="796E30ED">
            <w:pPr>
              <w:widowControl/>
              <w:spacing w:line="240" w:lineRule="exact"/>
              <w:jc w:val="center"/>
              <w:textAlignment w:val="center"/>
              <w:rPr>
                <w:rFonts w:ascii="宋体" w:hAnsi="宋体" w:cs="宋体"/>
                <w:color w:val="000000"/>
                <w:sz w:val="18"/>
                <w:szCs w:val="18"/>
              </w:rPr>
            </w:pPr>
            <w:r>
              <w:rPr>
                <w:rFonts w:hint="eastAsia" w:ascii="宋体" w:hAnsi="宋体" w:cs="宋体"/>
                <w:color w:val="000000"/>
                <w:kern w:val="0"/>
                <w:sz w:val="18"/>
                <w:szCs w:val="18"/>
              </w:rPr>
              <w:t>县发改局</w:t>
            </w:r>
          </w:p>
        </w:tc>
        <w:tc>
          <w:tcPr>
            <w:tcW w:w="924" w:type="dxa"/>
            <w:tcBorders>
              <w:top w:val="single" w:color="000000" w:sz="4" w:space="0"/>
              <w:left w:val="single" w:color="000000" w:sz="4" w:space="0"/>
              <w:bottom w:val="single" w:color="000000" w:sz="4" w:space="0"/>
              <w:right w:val="single" w:color="000000" w:sz="4" w:space="0"/>
            </w:tcBorders>
            <w:vAlign w:val="center"/>
          </w:tcPr>
          <w:p w14:paraId="6AB9B8F6">
            <w:pPr>
              <w:widowControl/>
              <w:spacing w:line="240" w:lineRule="exact"/>
              <w:jc w:val="left"/>
              <w:textAlignment w:val="center"/>
              <w:rPr>
                <w:rFonts w:ascii="宋体" w:hAnsi="宋体" w:cs="宋体"/>
                <w:color w:val="000000"/>
                <w:sz w:val="18"/>
                <w:szCs w:val="18"/>
              </w:rPr>
            </w:pPr>
            <w:r>
              <w:rPr>
                <w:rFonts w:hint="eastAsia" w:ascii="宋体" w:hAnsi="宋体" w:cs="宋体"/>
                <w:color w:val="000000"/>
                <w:kern w:val="0"/>
                <w:sz w:val="18"/>
                <w:szCs w:val="18"/>
              </w:rPr>
              <w:t>承接</w:t>
            </w:r>
          </w:p>
        </w:tc>
        <w:tc>
          <w:tcPr>
            <w:tcW w:w="1020" w:type="dxa"/>
            <w:tcBorders>
              <w:top w:val="single" w:color="000000" w:sz="4" w:space="0"/>
              <w:left w:val="single" w:color="000000" w:sz="4" w:space="0"/>
              <w:bottom w:val="single" w:color="000000" w:sz="4" w:space="0"/>
              <w:right w:val="single" w:color="000000" w:sz="4" w:space="0"/>
            </w:tcBorders>
            <w:vAlign w:val="center"/>
          </w:tcPr>
          <w:p w14:paraId="748F3BAE">
            <w:pPr>
              <w:widowControl/>
              <w:spacing w:line="240" w:lineRule="exact"/>
              <w:jc w:val="left"/>
              <w:textAlignment w:val="center"/>
              <w:rPr>
                <w:rFonts w:ascii="宋体" w:hAnsi="宋体" w:cs="宋体"/>
                <w:color w:val="000000"/>
                <w:sz w:val="18"/>
                <w:szCs w:val="18"/>
              </w:rPr>
            </w:pPr>
            <w:r>
              <w:rPr>
                <w:rFonts w:hint="eastAsia" w:ascii="宋体" w:hAnsi="宋体" w:cs="宋体"/>
                <w:color w:val="000000"/>
                <w:kern w:val="0"/>
                <w:sz w:val="18"/>
                <w:szCs w:val="18"/>
              </w:rPr>
              <w:t>建立随机抽查监管机制，对承接事项进行跟踪检查。</w:t>
            </w:r>
          </w:p>
        </w:tc>
        <w:tc>
          <w:tcPr>
            <w:tcW w:w="597" w:type="dxa"/>
            <w:gridSpan w:val="2"/>
            <w:tcBorders>
              <w:top w:val="single" w:color="000000" w:sz="4" w:space="0"/>
              <w:left w:val="single" w:color="000000" w:sz="4" w:space="0"/>
              <w:bottom w:val="single" w:color="000000" w:sz="4" w:space="0"/>
              <w:right w:val="single" w:color="000000" w:sz="4" w:space="0"/>
            </w:tcBorders>
            <w:vAlign w:val="center"/>
          </w:tcPr>
          <w:p w14:paraId="1C6F0862">
            <w:pPr>
              <w:widowControl/>
              <w:spacing w:line="240" w:lineRule="exact"/>
              <w:jc w:val="left"/>
              <w:textAlignment w:val="center"/>
              <w:rPr>
                <w:rFonts w:ascii="宋体" w:hAnsi="宋体" w:cs="宋体"/>
                <w:color w:val="000000"/>
                <w:sz w:val="18"/>
                <w:szCs w:val="18"/>
              </w:rPr>
            </w:pPr>
            <w:r>
              <w:rPr>
                <w:rFonts w:hint="eastAsia" w:ascii="宋体" w:hAnsi="宋体" w:cs="宋体"/>
                <w:color w:val="000000"/>
                <w:kern w:val="0"/>
                <w:sz w:val="18"/>
                <w:szCs w:val="18"/>
              </w:rPr>
              <w:t>此事项为工程建设项目审批事项。</w:t>
            </w:r>
          </w:p>
        </w:tc>
      </w:tr>
      <w:tr w14:paraId="52160DAF">
        <w:tblPrEx>
          <w:tblCellMar>
            <w:top w:w="0" w:type="dxa"/>
            <w:left w:w="108" w:type="dxa"/>
            <w:bottom w:w="0" w:type="dxa"/>
            <w:right w:w="108" w:type="dxa"/>
          </w:tblCellMar>
        </w:tblPrEx>
        <w:trPr>
          <w:trHeight w:val="3302" w:hRule="atLeast"/>
          <w:jc w:val="center"/>
        </w:trPr>
        <w:tc>
          <w:tcPr>
            <w:tcW w:w="758" w:type="dxa"/>
            <w:tcBorders>
              <w:top w:val="single" w:color="000000" w:sz="4" w:space="0"/>
              <w:left w:val="single" w:color="000000" w:sz="4" w:space="0"/>
              <w:bottom w:val="single" w:color="000000" w:sz="4" w:space="0"/>
              <w:right w:val="single" w:color="000000" w:sz="4" w:space="0"/>
            </w:tcBorders>
            <w:vAlign w:val="center"/>
          </w:tcPr>
          <w:p w14:paraId="5D8437B3">
            <w:pPr>
              <w:widowControl/>
              <w:spacing w:line="240" w:lineRule="exact"/>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1147" w:type="dxa"/>
            <w:tcBorders>
              <w:top w:val="single" w:color="000000" w:sz="4" w:space="0"/>
              <w:left w:val="single" w:color="000000" w:sz="4" w:space="0"/>
              <w:bottom w:val="single" w:color="000000" w:sz="4" w:space="0"/>
              <w:right w:val="single" w:color="000000" w:sz="4" w:space="0"/>
            </w:tcBorders>
            <w:vAlign w:val="center"/>
          </w:tcPr>
          <w:p w14:paraId="53BFB95E">
            <w:pPr>
              <w:widowControl/>
              <w:spacing w:line="240" w:lineRule="exact"/>
              <w:jc w:val="left"/>
              <w:textAlignment w:val="center"/>
              <w:rPr>
                <w:rFonts w:ascii="宋体" w:hAnsi="宋体" w:cs="宋体"/>
                <w:color w:val="000000"/>
                <w:sz w:val="18"/>
                <w:szCs w:val="18"/>
              </w:rPr>
            </w:pPr>
            <w:r>
              <w:rPr>
                <w:rFonts w:hint="eastAsia" w:ascii="宋体" w:hAnsi="宋体" w:cs="宋体"/>
                <w:color w:val="000000"/>
                <w:kern w:val="0"/>
                <w:sz w:val="18"/>
                <w:szCs w:val="18"/>
              </w:rPr>
              <w:t>企业、事业单位、社会团体等投资建设的固定资产项目备案</w:t>
            </w:r>
          </w:p>
        </w:tc>
        <w:tc>
          <w:tcPr>
            <w:tcW w:w="998" w:type="dxa"/>
            <w:tcBorders>
              <w:top w:val="single" w:color="000000" w:sz="4" w:space="0"/>
              <w:left w:val="single" w:color="000000" w:sz="4" w:space="0"/>
              <w:bottom w:val="single" w:color="000000" w:sz="4" w:space="0"/>
              <w:right w:val="single" w:color="000000" w:sz="4" w:space="0"/>
            </w:tcBorders>
            <w:vAlign w:val="center"/>
          </w:tcPr>
          <w:p w14:paraId="01ECE8D9">
            <w:pPr>
              <w:widowControl/>
              <w:spacing w:line="240" w:lineRule="exact"/>
              <w:jc w:val="left"/>
              <w:textAlignment w:val="center"/>
              <w:rPr>
                <w:rFonts w:ascii="宋体" w:hAnsi="宋体" w:cs="宋体"/>
                <w:color w:val="000000"/>
                <w:sz w:val="18"/>
                <w:szCs w:val="18"/>
              </w:rPr>
            </w:pPr>
            <w:r>
              <w:rPr>
                <w:rFonts w:hint="eastAsia" w:ascii="宋体" w:hAnsi="宋体" w:cs="宋体"/>
                <w:color w:val="000000"/>
                <w:kern w:val="0"/>
                <w:sz w:val="18"/>
                <w:szCs w:val="18"/>
              </w:rPr>
              <w:t>5.新建汽车发动机企业和现有企业新增发动机产品投资项目备案</w:t>
            </w:r>
          </w:p>
        </w:tc>
        <w:tc>
          <w:tcPr>
            <w:tcW w:w="966" w:type="dxa"/>
            <w:tcBorders>
              <w:top w:val="single" w:color="000000" w:sz="4" w:space="0"/>
              <w:left w:val="single" w:color="000000" w:sz="4" w:space="0"/>
              <w:bottom w:val="single" w:color="000000" w:sz="4" w:space="0"/>
              <w:right w:val="single" w:color="000000" w:sz="4" w:space="0"/>
            </w:tcBorders>
            <w:vAlign w:val="center"/>
          </w:tcPr>
          <w:p w14:paraId="6D7B2CCE">
            <w:pPr>
              <w:widowControl/>
              <w:spacing w:line="240" w:lineRule="exact"/>
              <w:jc w:val="center"/>
              <w:textAlignment w:val="center"/>
              <w:rPr>
                <w:rFonts w:ascii="宋体" w:hAnsi="宋体" w:cs="宋体"/>
                <w:color w:val="000000"/>
                <w:sz w:val="18"/>
                <w:szCs w:val="18"/>
              </w:rPr>
            </w:pPr>
            <w:r>
              <w:rPr>
                <w:rFonts w:hint="eastAsia" w:ascii="宋体" w:hAnsi="宋体" w:cs="宋体"/>
                <w:color w:val="000000"/>
                <w:kern w:val="0"/>
                <w:sz w:val="18"/>
                <w:szCs w:val="18"/>
              </w:rPr>
              <w:t>其他行政权力</w:t>
            </w:r>
          </w:p>
        </w:tc>
        <w:tc>
          <w:tcPr>
            <w:tcW w:w="2869" w:type="dxa"/>
            <w:tcBorders>
              <w:top w:val="single" w:color="000000" w:sz="4" w:space="0"/>
              <w:left w:val="single" w:color="000000" w:sz="4" w:space="0"/>
              <w:bottom w:val="single" w:color="000000" w:sz="4" w:space="0"/>
              <w:right w:val="single" w:color="000000" w:sz="4" w:space="0"/>
            </w:tcBorders>
            <w:vAlign w:val="center"/>
          </w:tcPr>
          <w:p w14:paraId="2F1185DB">
            <w:pPr>
              <w:widowControl/>
              <w:spacing w:line="240" w:lineRule="exact"/>
              <w:jc w:val="left"/>
              <w:textAlignment w:val="center"/>
              <w:rPr>
                <w:rFonts w:hint="eastAsia" w:ascii="宋体" w:hAnsi="宋体" w:eastAsia="宋体" w:cs="宋体"/>
                <w:color w:val="000000"/>
                <w:kern w:val="0"/>
                <w:sz w:val="18"/>
                <w:szCs w:val="18"/>
                <w:lang w:eastAsia="zh-CN"/>
              </w:rPr>
            </w:pPr>
            <w:r>
              <w:rPr>
                <w:rFonts w:hint="eastAsia" w:ascii="宋体" w:hAnsi="宋体" w:cs="宋体"/>
                <w:color w:val="000000"/>
                <w:kern w:val="0"/>
                <w:sz w:val="18"/>
                <w:szCs w:val="18"/>
              </w:rPr>
              <w:t>【行政法规】《企业投资项目核准和备案管理条例》（2016年12月14日国务院令第673号）</w:t>
            </w:r>
          </w:p>
          <w:p w14:paraId="003886B1">
            <w:pPr>
              <w:widowControl/>
              <w:spacing w:line="240" w:lineRule="exact"/>
              <w:jc w:val="left"/>
              <w:textAlignment w:val="center"/>
              <w:rPr>
                <w:rFonts w:hint="eastAsia" w:ascii="宋体" w:hAnsi="宋体" w:eastAsia="宋体" w:cs="宋体"/>
                <w:color w:val="000000"/>
                <w:kern w:val="0"/>
                <w:sz w:val="18"/>
                <w:szCs w:val="18"/>
                <w:lang w:eastAsia="zh-CN"/>
              </w:rPr>
            </w:pPr>
            <w:r>
              <w:rPr>
                <w:rFonts w:hint="eastAsia" w:ascii="宋体" w:hAnsi="宋体" w:cs="宋体"/>
                <w:color w:val="000000"/>
                <w:kern w:val="0"/>
                <w:sz w:val="18"/>
                <w:szCs w:val="18"/>
              </w:rPr>
              <w:t>第三条　对关系国家安全、涉及全国重大生产力布局、战略性资源开发和重大公共利益等项目，实行核准管理。具体项目范围以及核准机关、核准权限依照政府核准的投资项目目录执行。政府核准的投资项目目录由国务院投资主管部门会同国务院有关部门提出，报国务院批准后实施，并适时调整。国务院另有规定的，依照其规定。对前款规定以外的项目，实行备案管理。对前款规定以外的项目，实行备案管理。除国务院另有规定的，实行备案管理的项目按照属地原则备案，备案机关及其权限由省、自治区、直辖市和计划单列市人民政府规定。</w:t>
            </w:r>
          </w:p>
          <w:p w14:paraId="4D884DC1">
            <w:pPr>
              <w:widowControl/>
              <w:spacing w:line="240" w:lineRule="exact"/>
              <w:jc w:val="left"/>
              <w:textAlignment w:val="center"/>
              <w:rPr>
                <w:rFonts w:hint="eastAsia" w:ascii="宋体" w:hAnsi="宋体" w:eastAsia="宋体" w:cs="宋体"/>
                <w:color w:val="000000"/>
                <w:spacing w:val="-6"/>
                <w:kern w:val="0"/>
                <w:sz w:val="18"/>
                <w:szCs w:val="18"/>
                <w:lang w:eastAsia="zh-CN"/>
              </w:rPr>
            </w:pPr>
            <w:r>
              <w:rPr>
                <w:rFonts w:hint="eastAsia" w:ascii="宋体" w:hAnsi="宋体" w:cs="宋体"/>
                <w:color w:val="000000"/>
                <w:spacing w:val="-6"/>
                <w:kern w:val="0"/>
                <w:sz w:val="18"/>
                <w:szCs w:val="18"/>
              </w:rPr>
              <w:t>【部门规章】《企业投资项目核准和备案管理办法（国家发展和改革委员会 2017年第2号令）》第四条：对关系国家安全、涉及全国重大生产力布局、战略性资源开发和重大公共利益等项目，实行核准管理。《汽车产业投资管理规定》（2018年12月10日国家发展和改革委令第22号）第一章 第六条 汽车整车和其他投资项目均由地方发展改革部门实施备案管理。其中，汽车整车投资项目由省级发展改革部门备案。</w:t>
            </w:r>
          </w:p>
          <w:p w14:paraId="3C3ECD50">
            <w:pPr>
              <w:widowControl/>
              <w:spacing w:line="240" w:lineRule="exact"/>
              <w:jc w:val="left"/>
              <w:textAlignment w:val="center"/>
              <w:rPr>
                <w:rFonts w:ascii="宋体" w:hAnsi="宋体" w:cs="宋体"/>
                <w:color w:val="000000"/>
                <w:sz w:val="18"/>
                <w:szCs w:val="18"/>
              </w:rPr>
            </w:pPr>
            <w:r>
              <w:rPr>
                <w:rFonts w:hint="eastAsia" w:ascii="宋体" w:hAnsi="宋体" w:cs="宋体"/>
                <w:color w:val="000000"/>
                <w:kern w:val="0"/>
                <w:sz w:val="18"/>
                <w:szCs w:val="18"/>
              </w:rPr>
              <w:t>【规范性文件】《辽宁省人民政府关于取消下放调整一批行政职权事项的决定》（辽政发〔2019〕16号）下放到市级发展改革部门实施。</w:t>
            </w:r>
          </w:p>
        </w:tc>
        <w:tc>
          <w:tcPr>
            <w:tcW w:w="927" w:type="dxa"/>
            <w:tcBorders>
              <w:top w:val="single" w:color="000000" w:sz="4" w:space="0"/>
              <w:left w:val="single" w:color="000000" w:sz="4" w:space="0"/>
              <w:bottom w:val="single" w:color="000000" w:sz="4" w:space="0"/>
              <w:right w:val="single" w:color="000000" w:sz="4" w:space="0"/>
            </w:tcBorders>
            <w:vAlign w:val="center"/>
          </w:tcPr>
          <w:p w14:paraId="789C35C8">
            <w:pPr>
              <w:widowControl/>
              <w:spacing w:line="240" w:lineRule="exact"/>
              <w:jc w:val="center"/>
              <w:textAlignment w:val="center"/>
              <w:rPr>
                <w:rFonts w:ascii="宋体" w:hAnsi="宋体" w:cs="宋体"/>
                <w:color w:val="000000"/>
                <w:sz w:val="18"/>
                <w:szCs w:val="18"/>
              </w:rPr>
            </w:pPr>
            <w:r>
              <w:rPr>
                <w:rFonts w:hint="eastAsia" w:ascii="宋体" w:hAnsi="宋体" w:cs="宋体"/>
                <w:color w:val="000000"/>
                <w:kern w:val="0"/>
                <w:sz w:val="18"/>
                <w:szCs w:val="18"/>
              </w:rPr>
              <w:t>县发改局</w:t>
            </w:r>
          </w:p>
        </w:tc>
        <w:tc>
          <w:tcPr>
            <w:tcW w:w="924" w:type="dxa"/>
            <w:tcBorders>
              <w:top w:val="single" w:color="000000" w:sz="4" w:space="0"/>
              <w:left w:val="single" w:color="000000" w:sz="4" w:space="0"/>
              <w:bottom w:val="single" w:color="000000" w:sz="4" w:space="0"/>
              <w:right w:val="single" w:color="000000" w:sz="4" w:space="0"/>
            </w:tcBorders>
            <w:vAlign w:val="center"/>
          </w:tcPr>
          <w:p w14:paraId="771C287F">
            <w:pPr>
              <w:widowControl/>
              <w:spacing w:line="240" w:lineRule="exact"/>
              <w:jc w:val="left"/>
              <w:textAlignment w:val="center"/>
              <w:rPr>
                <w:rFonts w:ascii="宋体" w:hAnsi="宋体" w:cs="宋体"/>
                <w:color w:val="000000"/>
                <w:sz w:val="18"/>
                <w:szCs w:val="18"/>
              </w:rPr>
            </w:pPr>
            <w:r>
              <w:rPr>
                <w:rFonts w:hint="eastAsia" w:ascii="宋体" w:hAnsi="宋体" w:cs="宋体"/>
                <w:color w:val="000000"/>
                <w:kern w:val="0"/>
                <w:sz w:val="18"/>
                <w:szCs w:val="18"/>
              </w:rPr>
              <w:t>承接</w:t>
            </w:r>
          </w:p>
        </w:tc>
        <w:tc>
          <w:tcPr>
            <w:tcW w:w="1020" w:type="dxa"/>
            <w:tcBorders>
              <w:top w:val="single" w:color="000000" w:sz="4" w:space="0"/>
              <w:left w:val="single" w:color="000000" w:sz="4" w:space="0"/>
              <w:bottom w:val="single" w:color="000000" w:sz="4" w:space="0"/>
              <w:right w:val="single" w:color="000000" w:sz="4" w:space="0"/>
            </w:tcBorders>
            <w:vAlign w:val="center"/>
          </w:tcPr>
          <w:p w14:paraId="4D562727">
            <w:pPr>
              <w:widowControl/>
              <w:spacing w:line="240" w:lineRule="exact"/>
              <w:jc w:val="left"/>
              <w:textAlignment w:val="center"/>
              <w:rPr>
                <w:rFonts w:ascii="宋体" w:hAnsi="宋体" w:cs="宋体"/>
                <w:color w:val="000000"/>
                <w:sz w:val="18"/>
                <w:szCs w:val="18"/>
              </w:rPr>
            </w:pPr>
            <w:r>
              <w:rPr>
                <w:rFonts w:hint="eastAsia" w:ascii="宋体" w:hAnsi="宋体" w:cs="宋体"/>
                <w:color w:val="000000"/>
                <w:kern w:val="0"/>
                <w:sz w:val="18"/>
                <w:szCs w:val="18"/>
              </w:rPr>
              <w:t>建立随机抽查监管机制，对承接事项进行跟踪检查。</w:t>
            </w:r>
          </w:p>
        </w:tc>
        <w:tc>
          <w:tcPr>
            <w:tcW w:w="597" w:type="dxa"/>
            <w:gridSpan w:val="2"/>
            <w:tcBorders>
              <w:top w:val="single" w:color="000000" w:sz="4" w:space="0"/>
              <w:left w:val="single" w:color="000000" w:sz="4" w:space="0"/>
              <w:bottom w:val="single" w:color="000000" w:sz="4" w:space="0"/>
              <w:right w:val="single" w:color="000000" w:sz="4" w:space="0"/>
            </w:tcBorders>
            <w:vAlign w:val="center"/>
          </w:tcPr>
          <w:p w14:paraId="345CA173">
            <w:pPr>
              <w:widowControl/>
              <w:spacing w:line="240" w:lineRule="exact"/>
              <w:jc w:val="left"/>
              <w:textAlignment w:val="center"/>
              <w:rPr>
                <w:rFonts w:ascii="宋体" w:hAnsi="宋体" w:cs="宋体"/>
                <w:color w:val="000000"/>
                <w:sz w:val="18"/>
                <w:szCs w:val="18"/>
              </w:rPr>
            </w:pPr>
            <w:r>
              <w:rPr>
                <w:rFonts w:hint="eastAsia" w:ascii="宋体" w:hAnsi="宋体" w:cs="宋体"/>
                <w:color w:val="000000"/>
                <w:kern w:val="0"/>
                <w:sz w:val="18"/>
                <w:szCs w:val="18"/>
              </w:rPr>
              <w:t>此事项为工程建设项目审批事项。</w:t>
            </w:r>
          </w:p>
        </w:tc>
      </w:tr>
      <w:tr w14:paraId="5DDD2418">
        <w:tblPrEx>
          <w:tblCellMar>
            <w:top w:w="0" w:type="dxa"/>
            <w:left w:w="108" w:type="dxa"/>
            <w:bottom w:w="0" w:type="dxa"/>
            <w:right w:w="108" w:type="dxa"/>
          </w:tblCellMar>
        </w:tblPrEx>
        <w:trPr>
          <w:trHeight w:val="90" w:hRule="atLeast"/>
          <w:jc w:val="center"/>
        </w:trPr>
        <w:tc>
          <w:tcPr>
            <w:tcW w:w="758" w:type="dxa"/>
            <w:tcBorders>
              <w:top w:val="single" w:color="000000" w:sz="4" w:space="0"/>
              <w:left w:val="single" w:color="000000" w:sz="4" w:space="0"/>
              <w:bottom w:val="single" w:color="000000" w:sz="4" w:space="0"/>
              <w:right w:val="single" w:color="000000" w:sz="4" w:space="0"/>
            </w:tcBorders>
            <w:vAlign w:val="center"/>
          </w:tcPr>
          <w:p w14:paraId="366E4952">
            <w:pPr>
              <w:widowControl/>
              <w:spacing w:line="240" w:lineRule="exact"/>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1147" w:type="dxa"/>
            <w:tcBorders>
              <w:top w:val="single" w:color="000000" w:sz="4" w:space="0"/>
              <w:left w:val="single" w:color="000000" w:sz="4" w:space="0"/>
              <w:bottom w:val="single" w:color="000000" w:sz="4" w:space="0"/>
              <w:right w:val="single" w:color="000000" w:sz="4" w:space="0"/>
            </w:tcBorders>
            <w:vAlign w:val="center"/>
          </w:tcPr>
          <w:p w14:paraId="3DFE63A7">
            <w:pPr>
              <w:widowControl/>
              <w:spacing w:line="240" w:lineRule="exact"/>
              <w:jc w:val="left"/>
              <w:textAlignment w:val="center"/>
              <w:rPr>
                <w:rFonts w:ascii="宋体" w:hAnsi="宋体" w:cs="宋体"/>
                <w:color w:val="000000"/>
                <w:sz w:val="18"/>
                <w:szCs w:val="18"/>
              </w:rPr>
            </w:pPr>
            <w:r>
              <w:rPr>
                <w:rFonts w:hint="eastAsia" w:ascii="宋体" w:hAnsi="宋体" w:cs="宋体"/>
                <w:color w:val="000000"/>
                <w:kern w:val="0"/>
                <w:sz w:val="18"/>
                <w:szCs w:val="18"/>
              </w:rPr>
              <w:t>企业、事业单位、社会团体等投资建设的固定资产项目备案</w:t>
            </w:r>
          </w:p>
        </w:tc>
        <w:tc>
          <w:tcPr>
            <w:tcW w:w="998" w:type="dxa"/>
            <w:tcBorders>
              <w:top w:val="single" w:color="000000" w:sz="4" w:space="0"/>
              <w:left w:val="single" w:color="000000" w:sz="4" w:space="0"/>
              <w:bottom w:val="single" w:color="000000" w:sz="4" w:space="0"/>
              <w:right w:val="single" w:color="000000" w:sz="4" w:space="0"/>
            </w:tcBorders>
            <w:vAlign w:val="center"/>
          </w:tcPr>
          <w:p w14:paraId="11C0C15C">
            <w:pPr>
              <w:widowControl/>
              <w:spacing w:line="240" w:lineRule="exact"/>
              <w:jc w:val="left"/>
              <w:textAlignment w:val="center"/>
              <w:rPr>
                <w:rFonts w:ascii="宋体" w:hAnsi="宋体" w:cs="宋体"/>
                <w:color w:val="000000"/>
                <w:sz w:val="18"/>
                <w:szCs w:val="18"/>
              </w:rPr>
            </w:pPr>
            <w:r>
              <w:rPr>
                <w:rFonts w:hint="eastAsia" w:ascii="宋体" w:hAnsi="宋体" w:cs="宋体"/>
                <w:color w:val="000000"/>
                <w:kern w:val="0"/>
                <w:sz w:val="18"/>
                <w:szCs w:val="18"/>
              </w:rPr>
              <w:t>6.新建车用动力电池单体/系统企业投资项目和现有车用动力电池企业扩能项目备案</w:t>
            </w:r>
          </w:p>
        </w:tc>
        <w:tc>
          <w:tcPr>
            <w:tcW w:w="966" w:type="dxa"/>
            <w:tcBorders>
              <w:top w:val="single" w:color="000000" w:sz="4" w:space="0"/>
              <w:left w:val="single" w:color="000000" w:sz="4" w:space="0"/>
              <w:bottom w:val="single" w:color="000000" w:sz="4" w:space="0"/>
              <w:right w:val="single" w:color="000000" w:sz="4" w:space="0"/>
            </w:tcBorders>
            <w:vAlign w:val="center"/>
          </w:tcPr>
          <w:p w14:paraId="62C860AD">
            <w:pPr>
              <w:widowControl/>
              <w:spacing w:line="240" w:lineRule="exact"/>
              <w:jc w:val="center"/>
              <w:textAlignment w:val="center"/>
              <w:rPr>
                <w:rFonts w:ascii="宋体" w:hAnsi="宋体" w:cs="宋体"/>
                <w:color w:val="000000"/>
                <w:sz w:val="18"/>
                <w:szCs w:val="18"/>
              </w:rPr>
            </w:pPr>
            <w:r>
              <w:rPr>
                <w:rFonts w:hint="eastAsia" w:ascii="宋体" w:hAnsi="宋体" w:cs="宋体"/>
                <w:color w:val="000000"/>
                <w:kern w:val="0"/>
                <w:sz w:val="18"/>
                <w:szCs w:val="18"/>
              </w:rPr>
              <w:t>其他行政权力</w:t>
            </w:r>
          </w:p>
        </w:tc>
        <w:tc>
          <w:tcPr>
            <w:tcW w:w="2869" w:type="dxa"/>
            <w:tcBorders>
              <w:top w:val="single" w:color="000000" w:sz="4" w:space="0"/>
              <w:left w:val="single" w:color="000000" w:sz="4" w:space="0"/>
              <w:bottom w:val="single" w:color="000000" w:sz="4" w:space="0"/>
              <w:right w:val="single" w:color="000000" w:sz="4" w:space="0"/>
            </w:tcBorders>
            <w:vAlign w:val="center"/>
          </w:tcPr>
          <w:p w14:paraId="0AF814C6">
            <w:pPr>
              <w:widowControl/>
              <w:spacing w:line="240" w:lineRule="exact"/>
              <w:jc w:val="left"/>
              <w:textAlignment w:val="center"/>
              <w:rPr>
                <w:rFonts w:hint="eastAsia" w:ascii="宋体" w:hAnsi="宋体" w:eastAsia="宋体" w:cs="宋体"/>
                <w:color w:val="000000"/>
                <w:kern w:val="0"/>
                <w:sz w:val="18"/>
                <w:szCs w:val="18"/>
                <w:lang w:eastAsia="zh-CN"/>
              </w:rPr>
            </w:pPr>
            <w:r>
              <w:rPr>
                <w:rFonts w:hint="eastAsia" w:ascii="宋体" w:hAnsi="宋体" w:cs="宋体"/>
                <w:color w:val="000000"/>
                <w:kern w:val="0"/>
                <w:sz w:val="18"/>
                <w:szCs w:val="18"/>
              </w:rPr>
              <w:t>【行政法规】《企业投资项目核准和备案管理条例》（2016年12月14日国务院令第673号）</w:t>
            </w:r>
          </w:p>
          <w:p w14:paraId="7383396D">
            <w:pPr>
              <w:widowControl/>
              <w:spacing w:line="240" w:lineRule="exact"/>
              <w:jc w:val="left"/>
              <w:textAlignment w:val="center"/>
              <w:rPr>
                <w:rFonts w:hint="eastAsia" w:ascii="宋体" w:hAnsi="宋体" w:eastAsia="宋体" w:cs="宋体"/>
                <w:color w:val="000000"/>
                <w:kern w:val="0"/>
                <w:sz w:val="18"/>
                <w:szCs w:val="18"/>
                <w:lang w:eastAsia="zh-CN"/>
              </w:rPr>
            </w:pPr>
            <w:r>
              <w:rPr>
                <w:rFonts w:hint="eastAsia" w:ascii="宋体" w:hAnsi="宋体" w:cs="宋体"/>
                <w:color w:val="000000"/>
                <w:kern w:val="0"/>
                <w:sz w:val="18"/>
                <w:szCs w:val="18"/>
              </w:rPr>
              <w:t>第三条　对关系国家安全、涉及全国重大生产力布局、战略性资源开发和重大公共利益等项目，实行核准管理。具体项目范围以及核准机关、核准权限依照政府核准的投资项目目录执行。政府核准的投资项目目录由国务院投资主管部门会同国务院有关部门提出，报国务院批准后实施，并适时调整。国务院另有规定的，依照其规定。对前款规定以外的项目，实行备案管理。对前款规定以外的项目，实行备案管理。除国务院另有规定的，实行备案管理的项目按照属地原则备案，备案机关及其权限由省、自治区、直辖市和计划单列市人民政府规定。</w:t>
            </w:r>
          </w:p>
          <w:p w14:paraId="64CB544F">
            <w:pPr>
              <w:widowControl/>
              <w:spacing w:line="240" w:lineRule="exact"/>
              <w:jc w:val="left"/>
              <w:textAlignment w:val="center"/>
              <w:rPr>
                <w:rFonts w:hint="eastAsia" w:ascii="宋体" w:hAnsi="宋体" w:eastAsia="宋体" w:cs="宋体"/>
                <w:color w:val="000000"/>
                <w:spacing w:val="-6"/>
                <w:kern w:val="0"/>
                <w:sz w:val="18"/>
                <w:szCs w:val="18"/>
                <w:lang w:eastAsia="zh-CN"/>
              </w:rPr>
            </w:pPr>
            <w:r>
              <w:rPr>
                <w:rFonts w:hint="eastAsia" w:ascii="宋体" w:hAnsi="宋体" w:cs="宋体"/>
                <w:color w:val="000000"/>
                <w:spacing w:val="-6"/>
                <w:kern w:val="0"/>
                <w:sz w:val="18"/>
                <w:szCs w:val="18"/>
              </w:rPr>
              <w:t>【部门规章】《企业投资项目核准和备案管理办法（国家发展和改革委员会 2017年第2号令）》第四条：对关系国家安全、涉及全国重大生产力布局、战略性资源开发和重大公共利益等项目，实行核准管理。《汽车产业投资管理规定》（2018年12月10日国家发展和改革委令第22号）第一章 第六条 汽车整车和其他投资项目均由地方发展改革部门实施备案管理。其中，汽车整车投资项目由省级发展改革部门备案。</w:t>
            </w:r>
          </w:p>
          <w:p w14:paraId="57B6A5E7">
            <w:pPr>
              <w:widowControl/>
              <w:spacing w:line="240" w:lineRule="exact"/>
              <w:jc w:val="left"/>
              <w:textAlignment w:val="center"/>
              <w:rPr>
                <w:rFonts w:ascii="宋体" w:hAnsi="宋体" w:cs="宋体"/>
                <w:color w:val="000000"/>
                <w:sz w:val="18"/>
                <w:szCs w:val="18"/>
              </w:rPr>
            </w:pPr>
            <w:r>
              <w:rPr>
                <w:rFonts w:hint="eastAsia" w:ascii="宋体" w:hAnsi="宋体" w:cs="宋体"/>
                <w:color w:val="000000"/>
                <w:kern w:val="0"/>
                <w:sz w:val="18"/>
                <w:szCs w:val="18"/>
              </w:rPr>
              <w:t>【规范性文件】《辽宁省人民政府关于取消下放调整一批行政职权事项的决定》（辽政发〔2019〕16号）下放到市级发展改革部门实施。</w:t>
            </w:r>
          </w:p>
        </w:tc>
        <w:tc>
          <w:tcPr>
            <w:tcW w:w="927" w:type="dxa"/>
            <w:tcBorders>
              <w:top w:val="single" w:color="000000" w:sz="4" w:space="0"/>
              <w:left w:val="single" w:color="000000" w:sz="4" w:space="0"/>
              <w:bottom w:val="single" w:color="000000" w:sz="4" w:space="0"/>
              <w:right w:val="single" w:color="000000" w:sz="4" w:space="0"/>
            </w:tcBorders>
            <w:vAlign w:val="center"/>
          </w:tcPr>
          <w:p w14:paraId="2D912352">
            <w:pPr>
              <w:widowControl/>
              <w:spacing w:line="240" w:lineRule="exact"/>
              <w:jc w:val="center"/>
              <w:textAlignment w:val="center"/>
              <w:rPr>
                <w:rFonts w:ascii="宋体" w:hAnsi="宋体" w:cs="宋体"/>
                <w:color w:val="000000"/>
                <w:sz w:val="18"/>
                <w:szCs w:val="18"/>
              </w:rPr>
            </w:pPr>
            <w:r>
              <w:rPr>
                <w:rFonts w:hint="eastAsia" w:ascii="宋体" w:hAnsi="宋体" w:cs="宋体"/>
                <w:color w:val="000000"/>
                <w:kern w:val="0"/>
                <w:sz w:val="18"/>
                <w:szCs w:val="18"/>
              </w:rPr>
              <w:t>县发改局</w:t>
            </w:r>
          </w:p>
        </w:tc>
        <w:tc>
          <w:tcPr>
            <w:tcW w:w="924" w:type="dxa"/>
            <w:tcBorders>
              <w:top w:val="single" w:color="000000" w:sz="4" w:space="0"/>
              <w:left w:val="single" w:color="000000" w:sz="4" w:space="0"/>
              <w:bottom w:val="single" w:color="000000" w:sz="4" w:space="0"/>
              <w:right w:val="single" w:color="000000" w:sz="4" w:space="0"/>
            </w:tcBorders>
            <w:vAlign w:val="center"/>
          </w:tcPr>
          <w:p w14:paraId="1293A6F5">
            <w:pPr>
              <w:widowControl/>
              <w:spacing w:line="240" w:lineRule="exact"/>
              <w:jc w:val="left"/>
              <w:textAlignment w:val="center"/>
              <w:rPr>
                <w:rFonts w:ascii="宋体" w:hAnsi="宋体" w:cs="宋体"/>
                <w:color w:val="000000"/>
                <w:sz w:val="18"/>
                <w:szCs w:val="18"/>
              </w:rPr>
            </w:pPr>
            <w:r>
              <w:rPr>
                <w:rFonts w:hint="eastAsia" w:ascii="宋体" w:hAnsi="宋体" w:cs="宋体"/>
                <w:color w:val="000000"/>
                <w:kern w:val="0"/>
                <w:sz w:val="18"/>
                <w:szCs w:val="18"/>
              </w:rPr>
              <w:t>承接</w:t>
            </w:r>
          </w:p>
        </w:tc>
        <w:tc>
          <w:tcPr>
            <w:tcW w:w="1020" w:type="dxa"/>
            <w:tcBorders>
              <w:top w:val="single" w:color="000000" w:sz="4" w:space="0"/>
              <w:left w:val="single" w:color="000000" w:sz="4" w:space="0"/>
              <w:bottom w:val="single" w:color="000000" w:sz="4" w:space="0"/>
              <w:right w:val="single" w:color="000000" w:sz="4" w:space="0"/>
            </w:tcBorders>
            <w:vAlign w:val="center"/>
          </w:tcPr>
          <w:p w14:paraId="6487A1BB">
            <w:pPr>
              <w:widowControl/>
              <w:spacing w:line="240" w:lineRule="exact"/>
              <w:jc w:val="left"/>
              <w:textAlignment w:val="center"/>
              <w:rPr>
                <w:rFonts w:ascii="宋体" w:hAnsi="宋体" w:cs="宋体"/>
                <w:color w:val="000000"/>
                <w:sz w:val="18"/>
                <w:szCs w:val="18"/>
              </w:rPr>
            </w:pPr>
            <w:r>
              <w:rPr>
                <w:rFonts w:hint="eastAsia" w:ascii="宋体" w:hAnsi="宋体" w:cs="宋体"/>
                <w:color w:val="000000"/>
                <w:kern w:val="0"/>
                <w:sz w:val="18"/>
                <w:szCs w:val="18"/>
              </w:rPr>
              <w:t>建立随机抽查监管机制，对承接事项进行跟踪检查。</w:t>
            </w:r>
          </w:p>
        </w:tc>
        <w:tc>
          <w:tcPr>
            <w:tcW w:w="597" w:type="dxa"/>
            <w:gridSpan w:val="2"/>
            <w:tcBorders>
              <w:top w:val="single" w:color="000000" w:sz="4" w:space="0"/>
              <w:left w:val="single" w:color="000000" w:sz="4" w:space="0"/>
              <w:bottom w:val="single" w:color="000000" w:sz="4" w:space="0"/>
              <w:right w:val="single" w:color="000000" w:sz="4" w:space="0"/>
            </w:tcBorders>
            <w:vAlign w:val="center"/>
          </w:tcPr>
          <w:p w14:paraId="429D541F">
            <w:pPr>
              <w:widowControl/>
              <w:spacing w:line="240" w:lineRule="exact"/>
              <w:jc w:val="left"/>
              <w:textAlignment w:val="center"/>
              <w:rPr>
                <w:rFonts w:ascii="宋体" w:hAnsi="宋体" w:cs="宋体"/>
                <w:color w:val="000000"/>
                <w:sz w:val="18"/>
                <w:szCs w:val="18"/>
              </w:rPr>
            </w:pPr>
            <w:r>
              <w:rPr>
                <w:rFonts w:hint="eastAsia" w:ascii="宋体" w:hAnsi="宋体" w:cs="宋体"/>
                <w:color w:val="000000"/>
                <w:kern w:val="0"/>
                <w:sz w:val="18"/>
                <w:szCs w:val="18"/>
              </w:rPr>
              <w:t>此事项为工程建设项目审批事项。</w:t>
            </w:r>
          </w:p>
        </w:tc>
      </w:tr>
      <w:tr w14:paraId="1B07F942">
        <w:tblPrEx>
          <w:tblCellMar>
            <w:top w:w="0" w:type="dxa"/>
            <w:left w:w="108" w:type="dxa"/>
            <w:bottom w:w="0" w:type="dxa"/>
            <w:right w:w="108" w:type="dxa"/>
          </w:tblCellMar>
        </w:tblPrEx>
        <w:trPr>
          <w:trHeight w:val="90" w:hRule="atLeast"/>
          <w:jc w:val="center"/>
        </w:trPr>
        <w:tc>
          <w:tcPr>
            <w:tcW w:w="758" w:type="dxa"/>
            <w:tcBorders>
              <w:top w:val="single" w:color="000000" w:sz="4" w:space="0"/>
              <w:left w:val="single" w:color="000000" w:sz="4" w:space="0"/>
              <w:bottom w:val="single" w:color="000000" w:sz="4" w:space="0"/>
              <w:right w:val="single" w:color="000000" w:sz="4" w:space="0"/>
            </w:tcBorders>
            <w:vAlign w:val="center"/>
          </w:tcPr>
          <w:p w14:paraId="0DEB49EC">
            <w:pPr>
              <w:widowControl/>
              <w:spacing w:line="240" w:lineRule="exact"/>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1147" w:type="dxa"/>
            <w:tcBorders>
              <w:top w:val="single" w:color="000000" w:sz="4" w:space="0"/>
              <w:left w:val="single" w:color="000000" w:sz="4" w:space="0"/>
              <w:bottom w:val="single" w:color="000000" w:sz="4" w:space="0"/>
              <w:right w:val="single" w:color="000000" w:sz="4" w:space="0"/>
            </w:tcBorders>
            <w:vAlign w:val="center"/>
          </w:tcPr>
          <w:p w14:paraId="1BB25239">
            <w:pPr>
              <w:widowControl/>
              <w:spacing w:line="240" w:lineRule="exact"/>
              <w:jc w:val="left"/>
              <w:textAlignment w:val="center"/>
              <w:rPr>
                <w:rFonts w:ascii="宋体" w:hAnsi="宋体" w:cs="宋体"/>
                <w:color w:val="000000"/>
                <w:sz w:val="18"/>
                <w:szCs w:val="18"/>
              </w:rPr>
            </w:pPr>
            <w:r>
              <w:rPr>
                <w:rFonts w:hint="eastAsia" w:ascii="宋体" w:hAnsi="宋体" w:cs="宋体"/>
                <w:color w:val="000000"/>
                <w:kern w:val="0"/>
                <w:sz w:val="18"/>
                <w:szCs w:val="18"/>
              </w:rPr>
              <w:t>企业、事业单位、社会团体等投资建设的固定资产项目备案</w:t>
            </w:r>
          </w:p>
        </w:tc>
        <w:tc>
          <w:tcPr>
            <w:tcW w:w="998" w:type="dxa"/>
            <w:tcBorders>
              <w:top w:val="single" w:color="000000" w:sz="4" w:space="0"/>
              <w:left w:val="single" w:color="000000" w:sz="4" w:space="0"/>
              <w:bottom w:val="single" w:color="000000" w:sz="4" w:space="0"/>
              <w:right w:val="single" w:color="000000" w:sz="4" w:space="0"/>
            </w:tcBorders>
            <w:vAlign w:val="center"/>
          </w:tcPr>
          <w:p w14:paraId="1EAD2240">
            <w:pPr>
              <w:widowControl/>
              <w:spacing w:line="240" w:lineRule="exact"/>
              <w:jc w:val="left"/>
              <w:textAlignment w:val="center"/>
              <w:rPr>
                <w:rFonts w:ascii="宋体" w:hAnsi="宋体" w:cs="宋体"/>
                <w:color w:val="000000"/>
                <w:sz w:val="18"/>
                <w:szCs w:val="18"/>
              </w:rPr>
            </w:pPr>
            <w:r>
              <w:rPr>
                <w:rFonts w:hint="eastAsia" w:ascii="宋体" w:hAnsi="宋体" w:cs="宋体"/>
                <w:color w:val="000000"/>
                <w:kern w:val="0"/>
                <w:sz w:val="18"/>
                <w:szCs w:val="18"/>
              </w:rPr>
              <w:t>7.新建车用燃料电池堆/系统投资项目备案</w:t>
            </w:r>
          </w:p>
        </w:tc>
        <w:tc>
          <w:tcPr>
            <w:tcW w:w="966" w:type="dxa"/>
            <w:tcBorders>
              <w:top w:val="single" w:color="000000" w:sz="4" w:space="0"/>
              <w:left w:val="single" w:color="000000" w:sz="4" w:space="0"/>
              <w:bottom w:val="single" w:color="000000" w:sz="4" w:space="0"/>
              <w:right w:val="single" w:color="000000" w:sz="4" w:space="0"/>
            </w:tcBorders>
            <w:vAlign w:val="center"/>
          </w:tcPr>
          <w:p w14:paraId="1B1CBA92">
            <w:pPr>
              <w:widowControl/>
              <w:spacing w:line="240" w:lineRule="exact"/>
              <w:jc w:val="center"/>
              <w:textAlignment w:val="center"/>
              <w:rPr>
                <w:rFonts w:ascii="宋体" w:hAnsi="宋体" w:cs="宋体"/>
                <w:color w:val="000000"/>
                <w:sz w:val="18"/>
                <w:szCs w:val="18"/>
              </w:rPr>
            </w:pPr>
            <w:r>
              <w:rPr>
                <w:rFonts w:hint="eastAsia" w:ascii="宋体" w:hAnsi="宋体" w:cs="宋体"/>
                <w:color w:val="000000"/>
                <w:kern w:val="0"/>
                <w:sz w:val="18"/>
                <w:szCs w:val="18"/>
              </w:rPr>
              <w:t>其他行政权力</w:t>
            </w:r>
          </w:p>
        </w:tc>
        <w:tc>
          <w:tcPr>
            <w:tcW w:w="2869" w:type="dxa"/>
            <w:tcBorders>
              <w:top w:val="single" w:color="000000" w:sz="4" w:space="0"/>
              <w:left w:val="single" w:color="000000" w:sz="4" w:space="0"/>
              <w:bottom w:val="single" w:color="000000" w:sz="4" w:space="0"/>
              <w:right w:val="single" w:color="000000" w:sz="4" w:space="0"/>
            </w:tcBorders>
            <w:vAlign w:val="center"/>
          </w:tcPr>
          <w:p w14:paraId="27A569DF">
            <w:pPr>
              <w:widowControl/>
              <w:spacing w:line="240" w:lineRule="exact"/>
              <w:jc w:val="left"/>
              <w:textAlignment w:val="center"/>
              <w:rPr>
                <w:rFonts w:hint="eastAsia" w:ascii="宋体" w:hAnsi="宋体" w:eastAsia="宋体" w:cs="宋体"/>
                <w:color w:val="000000"/>
                <w:kern w:val="0"/>
                <w:sz w:val="18"/>
                <w:szCs w:val="18"/>
                <w:lang w:eastAsia="zh-CN"/>
              </w:rPr>
            </w:pPr>
            <w:r>
              <w:rPr>
                <w:rFonts w:hint="eastAsia" w:ascii="宋体" w:hAnsi="宋体" w:cs="宋体"/>
                <w:color w:val="000000"/>
                <w:kern w:val="0"/>
                <w:sz w:val="18"/>
                <w:szCs w:val="18"/>
              </w:rPr>
              <w:t>【行政法规】《企业投资项目核准和备案管理条例》（2016年12月14日国务院令第673号）</w:t>
            </w:r>
          </w:p>
          <w:p w14:paraId="15D88FFD">
            <w:pPr>
              <w:widowControl/>
              <w:spacing w:line="240" w:lineRule="exact"/>
              <w:jc w:val="left"/>
              <w:textAlignment w:val="center"/>
              <w:rPr>
                <w:rFonts w:hint="eastAsia" w:ascii="宋体" w:hAnsi="宋体" w:eastAsia="宋体" w:cs="宋体"/>
                <w:color w:val="000000"/>
                <w:kern w:val="0"/>
                <w:sz w:val="18"/>
                <w:szCs w:val="18"/>
                <w:lang w:eastAsia="zh-CN"/>
              </w:rPr>
            </w:pPr>
            <w:r>
              <w:rPr>
                <w:rFonts w:hint="eastAsia" w:ascii="宋体" w:hAnsi="宋体" w:cs="宋体"/>
                <w:color w:val="000000"/>
                <w:kern w:val="0"/>
                <w:sz w:val="18"/>
                <w:szCs w:val="18"/>
              </w:rPr>
              <w:t>第三条　对关系国家安全、涉及全国重大生产力布局、战略性资源开发和重大公共利益等项目，实行核准管理。具体项目范围以及核准机关、核准权限依照政府核准的投资项目目录执行。政府核准的投资项目目录由国务院投资主管部门会同国务院有关部门提出，报国务院批准后实施，并适时调整。国务院另有规定的，依照其规定。对前款规定以外的项目，实行备案管理。对前款规定以外的项目，实行备案管理。除国务院另有规定的，实行备案管理的项目按照属地原则备案，备案机关及其权限由省、自治区、直辖市和计划单列市人民政府规定。</w:t>
            </w:r>
          </w:p>
          <w:p w14:paraId="0855DC5B">
            <w:pPr>
              <w:widowControl/>
              <w:spacing w:line="240" w:lineRule="exact"/>
              <w:jc w:val="left"/>
              <w:textAlignment w:val="center"/>
              <w:rPr>
                <w:rFonts w:hint="eastAsia" w:ascii="宋体" w:hAnsi="宋体" w:eastAsia="宋体" w:cs="宋体"/>
                <w:color w:val="000000"/>
                <w:spacing w:val="-6"/>
                <w:kern w:val="0"/>
                <w:sz w:val="18"/>
                <w:szCs w:val="18"/>
                <w:lang w:eastAsia="zh-CN"/>
              </w:rPr>
            </w:pPr>
            <w:r>
              <w:rPr>
                <w:rFonts w:hint="eastAsia" w:ascii="宋体" w:hAnsi="宋体" w:cs="宋体"/>
                <w:color w:val="000000"/>
                <w:spacing w:val="-6"/>
                <w:kern w:val="0"/>
                <w:sz w:val="18"/>
                <w:szCs w:val="18"/>
              </w:rPr>
              <w:t>【部门规章】《企业投资项目核准和备案管理办法（国家发展和改革委员会 2017年第2号令）》第四条：对关系国家安全、涉及全国重大生产力布局、战略性资源开发和重大公共利益等项目，实行核准管理。《汽车产业投资管理规定》（2018年12月10日国家发展和改革委令第22号）第一章 第六条 汽车整车和其他投资项目均由地方发展改革部门实施备案管理。其中，汽车整车投资项目由省级发展改革部门备案。</w:t>
            </w:r>
          </w:p>
          <w:p w14:paraId="4E2234A4">
            <w:pPr>
              <w:widowControl/>
              <w:spacing w:line="240" w:lineRule="exact"/>
              <w:jc w:val="left"/>
              <w:textAlignment w:val="center"/>
              <w:rPr>
                <w:rFonts w:ascii="宋体" w:hAnsi="宋体" w:cs="宋体"/>
                <w:color w:val="000000"/>
                <w:sz w:val="18"/>
                <w:szCs w:val="18"/>
              </w:rPr>
            </w:pPr>
            <w:r>
              <w:rPr>
                <w:rFonts w:hint="eastAsia" w:ascii="宋体" w:hAnsi="宋体" w:cs="宋体"/>
                <w:color w:val="000000"/>
                <w:kern w:val="0"/>
                <w:sz w:val="18"/>
                <w:szCs w:val="18"/>
              </w:rPr>
              <w:t>【规范性文件】《辽宁省人民政府关于取消下放调整一批行政职权事项的决定》（辽政发〔2019〕16号）下放到市级发展改革部门实施。</w:t>
            </w:r>
          </w:p>
        </w:tc>
        <w:tc>
          <w:tcPr>
            <w:tcW w:w="927" w:type="dxa"/>
            <w:tcBorders>
              <w:top w:val="single" w:color="000000" w:sz="4" w:space="0"/>
              <w:left w:val="single" w:color="000000" w:sz="4" w:space="0"/>
              <w:bottom w:val="single" w:color="000000" w:sz="4" w:space="0"/>
              <w:right w:val="single" w:color="000000" w:sz="4" w:space="0"/>
            </w:tcBorders>
            <w:vAlign w:val="center"/>
          </w:tcPr>
          <w:p w14:paraId="4BA6C92F">
            <w:pPr>
              <w:widowControl/>
              <w:spacing w:line="240" w:lineRule="exact"/>
              <w:jc w:val="center"/>
              <w:textAlignment w:val="center"/>
              <w:rPr>
                <w:rFonts w:ascii="宋体" w:hAnsi="宋体" w:cs="宋体"/>
                <w:color w:val="000000"/>
                <w:sz w:val="18"/>
                <w:szCs w:val="18"/>
              </w:rPr>
            </w:pPr>
            <w:r>
              <w:rPr>
                <w:rFonts w:hint="eastAsia" w:ascii="宋体" w:hAnsi="宋体" w:cs="宋体"/>
                <w:color w:val="000000"/>
                <w:kern w:val="0"/>
                <w:sz w:val="18"/>
                <w:szCs w:val="18"/>
              </w:rPr>
              <w:t>县发改局</w:t>
            </w:r>
          </w:p>
        </w:tc>
        <w:tc>
          <w:tcPr>
            <w:tcW w:w="924" w:type="dxa"/>
            <w:tcBorders>
              <w:top w:val="single" w:color="000000" w:sz="4" w:space="0"/>
              <w:left w:val="single" w:color="000000" w:sz="4" w:space="0"/>
              <w:bottom w:val="single" w:color="000000" w:sz="4" w:space="0"/>
              <w:right w:val="single" w:color="000000" w:sz="4" w:space="0"/>
            </w:tcBorders>
            <w:vAlign w:val="center"/>
          </w:tcPr>
          <w:p w14:paraId="3C6E96DB">
            <w:pPr>
              <w:widowControl/>
              <w:spacing w:line="240" w:lineRule="exact"/>
              <w:jc w:val="left"/>
              <w:textAlignment w:val="center"/>
              <w:rPr>
                <w:rFonts w:ascii="宋体" w:hAnsi="宋体" w:cs="宋体"/>
                <w:color w:val="000000"/>
                <w:sz w:val="18"/>
                <w:szCs w:val="18"/>
              </w:rPr>
            </w:pPr>
            <w:r>
              <w:rPr>
                <w:rFonts w:hint="eastAsia" w:ascii="宋体" w:hAnsi="宋体" w:cs="宋体"/>
                <w:color w:val="000000"/>
                <w:kern w:val="0"/>
                <w:sz w:val="18"/>
                <w:szCs w:val="18"/>
              </w:rPr>
              <w:t>承接</w:t>
            </w:r>
          </w:p>
        </w:tc>
        <w:tc>
          <w:tcPr>
            <w:tcW w:w="1020" w:type="dxa"/>
            <w:tcBorders>
              <w:top w:val="single" w:color="000000" w:sz="4" w:space="0"/>
              <w:left w:val="single" w:color="000000" w:sz="4" w:space="0"/>
              <w:bottom w:val="single" w:color="000000" w:sz="4" w:space="0"/>
              <w:right w:val="single" w:color="000000" w:sz="4" w:space="0"/>
            </w:tcBorders>
            <w:vAlign w:val="center"/>
          </w:tcPr>
          <w:p w14:paraId="16E5D409">
            <w:pPr>
              <w:widowControl/>
              <w:spacing w:line="240" w:lineRule="exact"/>
              <w:jc w:val="left"/>
              <w:textAlignment w:val="center"/>
              <w:rPr>
                <w:rFonts w:ascii="宋体" w:hAnsi="宋体" w:cs="宋体"/>
                <w:color w:val="000000"/>
                <w:sz w:val="18"/>
                <w:szCs w:val="18"/>
              </w:rPr>
            </w:pPr>
            <w:r>
              <w:rPr>
                <w:rFonts w:hint="eastAsia" w:ascii="宋体" w:hAnsi="宋体" w:cs="宋体"/>
                <w:color w:val="000000"/>
                <w:kern w:val="0"/>
                <w:sz w:val="18"/>
                <w:szCs w:val="18"/>
              </w:rPr>
              <w:t>建立随机抽查监管机制，对承接事项进行跟踪检查。</w:t>
            </w:r>
          </w:p>
        </w:tc>
        <w:tc>
          <w:tcPr>
            <w:tcW w:w="597" w:type="dxa"/>
            <w:gridSpan w:val="2"/>
            <w:tcBorders>
              <w:top w:val="single" w:color="000000" w:sz="4" w:space="0"/>
              <w:left w:val="single" w:color="000000" w:sz="4" w:space="0"/>
              <w:bottom w:val="single" w:color="000000" w:sz="4" w:space="0"/>
              <w:right w:val="single" w:color="000000" w:sz="4" w:space="0"/>
            </w:tcBorders>
            <w:vAlign w:val="center"/>
          </w:tcPr>
          <w:p w14:paraId="0B594218">
            <w:pPr>
              <w:widowControl/>
              <w:spacing w:line="240" w:lineRule="exact"/>
              <w:jc w:val="left"/>
              <w:textAlignment w:val="center"/>
              <w:rPr>
                <w:rFonts w:ascii="宋体" w:hAnsi="宋体" w:cs="宋体"/>
                <w:color w:val="000000"/>
                <w:sz w:val="18"/>
                <w:szCs w:val="18"/>
              </w:rPr>
            </w:pPr>
            <w:r>
              <w:rPr>
                <w:rFonts w:hint="eastAsia" w:ascii="宋体" w:hAnsi="宋体" w:cs="宋体"/>
                <w:color w:val="000000"/>
                <w:kern w:val="0"/>
                <w:sz w:val="18"/>
                <w:szCs w:val="18"/>
              </w:rPr>
              <w:t>此事项为工程建设项目审批事项。</w:t>
            </w:r>
          </w:p>
        </w:tc>
      </w:tr>
      <w:tr w14:paraId="7EAF5BAC">
        <w:tblPrEx>
          <w:tblCellMar>
            <w:top w:w="0" w:type="dxa"/>
            <w:left w:w="108" w:type="dxa"/>
            <w:bottom w:w="0" w:type="dxa"/>
            <w:right w:w="108" w:type="dxa"/>
          </w:tblCellMar>
        </w:tblPrEx>
        <w:trPr>
          <w:trHeight w:val="90" w:hRule="atLeast"/>
          <w:jc w:val="center"/>
        </w:trPr>
        <w:tc>
          <w:tcPr>
            <w:tcW w:w="758" w:type="dxa"/>
            <w:tcBorders>
              <w:top w:val="single" w:color="000000" w:sz="4" w:space="0"/>
              <w:left w:val="single" w:color="000000" w:sz="4" w:space="0"/>
              <w:bottom w:val="single" w:color="000000" w:sz="4" w:space="0"/>
              <w:right w:val="single" w:color="000000" w:sz="4" w:space="0"/>
            </w:tcBorders>
            <w:vAlign w:val="center"/>
          </w:tcPr>
          <w:p w14:paraId="7A0F905F">
            <w:pPr>
              <w:widowControl/>
              <w:spacing w:line="240" w:lineRule="exact"/>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1147" w:type="dxa"/>
            <w:tcBorders>
              <w:top w:val="single" w:color="000000" w:sz="4" w:space="0"/>
              <w:left w:val="single" w:color="000000" w:sz="4" w:space="0"/>
              <w:bottom w:val="single" w:color="000000" w:sz="4" w:space="0"/>
              <w:right w:val="single" w:color="000000" w:sz="4" w:space="0"/>
            </w:tcBorders>
            <w:vAlign w:val="center"/>
          </w:tcPr>
          <w:p w14:paraId="1FA35A05">
            <w:pPr>
              <w:widowControl/>
              <w:spacing w:line="240" w:lineRule="exact"/>
              <w:jc w:val="left"/>
              <w:textAlignment w:val="center"/>
              <w:rPr>
                <w:rFonts w:ascii="宋体" w:hAnsi="宋体" w:cs="宋体"/>
                <w:color w:val="000000"/>
                <w:sz w:val="18"/>
                <w:szCs w:val="18"/>
              </w:rPr>
            </w:pPr>
            <w:r>
              <w:rPr>
                <w:rFonts w:hint="eastAsia" w:ascii="宋体" w:hAnsi="宋体" w:cs="宋体"/>
                <w:color w:val="000000"/>
                <w:kern w:val="0"/>
                <w:sz w:val="18"/>
                <w:szCs w:val="18"/>
              </w:rPr>
              <w:t>企业、事业单位、社会团体等投资建设的固定资产项目备案</w:t>
            </w:r>
          </w:p>
        </w:tc>
        <w:tc>
          <w:tcPr>
            <w:tcW w:w="998" w:type="dxa"/>
            <w:tcBorders>
              <w:top w:val="single" w:color="000000" w:sz="4" w:space="0"/>
              <w:left w:val="single" w:color="000000" w:sz="4" w:space="0"/>
              <w:bottom w:val="single" w:color="000000" w:sz="4" w:space="0"/>
              <w:right w:val="single" w:color="000000" w:sz="4" w:space="0"/>
            </w:tcBorders>
            <w:vAlign w:val="center"/>
          </w:tcPr>
          <w:p w14:paraId="39140298">
            <w:pPr>
              <w:widowControl/>
              <w:spacing w:line="240" w:lineRule="exact"/>
              <w:jc w:val="left"/>
              <w:textAlignment w:val="center"/>
              <w:rPr>
                <w:rFonts w:ascii="宋体" w:hAnsi="宋体" w:cs="宋体"/>
                <w:color w:val="000000"/>
                <w:sz w:val="18"/>
                <w:szCs w:val="18"/>
              </w:rPr>
            </w:pPr>
            <w:r>
              <w:rPr>
                <w:rFonts w:hint="eastAsia" w:ascii="宋体" w:hAnsi="宋体" w:cs="宋体"/>
                <w:color w:val="000000"/>
                <w:kern w:val="0"/>
                <w:sz w:val="18"/>
                <w:szCs w:val="18"/>
              </w:rPr>
              <w:t>8.新建车身总成投资项目备案</w:t>
            </w:r>
          </w:p>
        </w:tc>
        <w:tc>
          <w:tcPr>
            <w:tcW w:w="966" w:type="dxa"/>
            <w:tcBorders>
              <w:top w:val="single" w:color="000000" w:sz="4" w:space="0"/>
              <w:left w:val="single" w:color="000000" w:sz="4" w:space="0"/>
              <w:bottom w:val="single" w:color="000000" w:sz="4" w:space="0"/>
              <w:right w:val="single" w:color="000000" w:sz="4" w:space="0"/>
            </w:tcBorders>
            <w:vAlign w:val="center"/>
          </w:tcPr>
          <w:p w14:paraId="1BF86F8C">
            <w:pPr>
              <w:widowControl/>
              <w:spacing w:line="240" w:lineRule="exact"/>
              <w:jc w:val="center"/>
              <w:textAlignment w:val="center"/>
              <w:rPr>
                <w:rFonts w:ascii="宋体" w:hAnsi="宋体" w:cs="宋体"/>
                <w:color w:val="000000"/>
                <w:sz w:val="18"/>
                <w:szCs w:val="18"/>
              </w:rPr>
            </w:pPr>
            <w:r>
              <w:rPr>
                <w:rFonts w:hint="eastAsia" w:ascii="宋体" w:hAnsi="宋体" w:cs="宋体"/>
                <w:color w:val="000000"/>
                <w:kern w:val="0"/>
                <w:sz w:val="18"/>
                <w:szCs w:val="18"/>
              </w:rPr>
              <w:t>其他行政权力</w:t>
            </w:r>
          </w:p>
        </w:tc>
        <w:tc>
          <w:tcPr>
            <w:tcW w:w="2869" w:type="dxa"/>
            <w:tcBorders>
              <w:top w:val="single" w:color="000000" w:sz="4" w:space="0"/>
              <w:left w:val="single" w:color="000000" w:sz="4" w:space="0"/>
              <w:bottom w:val="single" w:color="000000" w:sz="4" w:space="0"/>
              <w:right w:val="single" w:color="000000" w:sz="4" w:space="0"/>
            </w:tcBorders>
            <w:vAlign w:val="center"/>
          </w:tcPr>
          <w:p w14:paraId="1E454F87">
            <w:pPr>
              <w:widowControl/>
              <w:spacing w:line="240" w:lineRule="exact"/>
              <w:jc w:val="left"/>
              <w:textAlignment w:val="center"/>
              <w:rPr>
                <w:rFonts w:hint="eastAsia" w:ascii="宋体" w:hAnsi="宋体" w:eastAsia="宋体" w:cs="宋体"/>
                <w:color w:val="000000"/>
                <w:kern w:val="0"/>
                <w:sz w:val="18"/>
                <w:szCs w:val="18"/>
                <w:lang w:eastAsia="zh-CN"/>
              </w:rPr>
            </w:pPr>
            <w:r>
              <w:rPr>
                <w:rFonts w:hint="eastAsia" w:ascii="宋体" w:hAnsi="宋体" w:cs="宋体"/>
                <w:color w:val="000000"/>
                <w:kern w:val="0"/>
                <w:sz w:val="18"/>
                <w:szCs w:val="18"/>
              </w:rPr>
              <w:t>【行政法规】《企业投资项目核准和备案管理条例》（2016年12月14日国务院令第673号）</w:t>
            </w:r>
          </w:p>
          <w:p w14:paraId="14CA7BFD">
            <w:pPr>
              <w:widowControl/>
              <w:spacing w:line="240" w:lineRule="exact"/>
              <w:jc w:val="left"/>
              <w:textAlignment w:val="center"/>
              <w:rPr>
                <w:rFonts w:hint="eastAsia" w:ascii="宋体" w:hAnsi="宋体" w:eastAsia="宋体" w:cs="宋体"/>
                <w:color w:val="000000"/>
                <w:kern w:val="0"/>
                <w:sz w:val="18"/>
                <w:szCs w:val="18"/>
                <w:lang w:eastAsia="zh-CN"/>
              </w:rPr>
            </w:pPr>
            <w:r>
              <w:rPr>
                <w:rFonts w:hint="eastAsia" w:ascii="宋体" w:hAnsi="宋体" w:cs="宋体"/>
                <w:color w:val="000000"/>
                <w:kern w:val="0"/>
                <w:sz w:val="18"/>
                <w:szCs w:val="18"/>
              </w:rPr>
              <w:t>第三条　对关系国家安全、涉及全国重大生产力布局、战略性资源开发和重大公共利益等项目，实行核准管理。具体项目范围以及核准机关、核准权限依照政府核准的投资项目目录执行。政府核准的投资项目目录由国务院投资主管部门会同国务院有关部门提出，报国务院批准后实施，并适时调整。国务院另有规定的，依照其规定。对前款规定以外的项目，实行备案管理。对前款规定以外的项目，实行备案管理。除国务院另有规定的，实行备案管理的项目按照属地原则备案，备案机关及其权限由省、自治区、直辖市和计划单列市人民政府规定。</w:t>
            </w:r>
          </w:p>
          <w:p w14:paraId="6C063C56">
            <w:pPr>
              <w:widowControl/>
              <w:spacing w:line="240" w:lineRule="exact"/>
              <w:jc w:val="left"/>
              <w:textAlignment w:val="center"/>
              <w:rPr>
                <w:rFonts w:hint="eastAsia" w:ascii="宋体" w:hAnsi="宋体" w:eastAsia="宋体" w:cs="宋体"/>
                <w:color w:val="000000"/>
                <w:spacing w:val="-6"/>
                <w:kern w:val="0"/>
                <w:sz w:val="18"/>
                <w:szCs w:val="18"/>
                <w:lang w:eastAsia="zh-CN"/>
              </w:rPr>
            </w:pPr>
            <w:r>
              <w:rPr>
                <w:rFonts w:hint="eastAsia" w:ascii="宋体" w:hAnsi="宋体" w:cs="宋体"/>
                <w:color w:val="000000"/>
                <w:spacing w:val="-6"/>
                <w:kern w:val="0"/>
                <w:sz w:val="18"/>
                <w:szCs w:val="18"/>
              </w:rPr>
              <w:t>【部门规章】《企业投资项目核准和备案管理办法（国家发展和改革委员会 2017年第2号令）》第四条：对关系国家安全、涉及全国重大生产力布局、战略性资源开发和重大公共利益等项目，实行核准管理。《汽车产业投资管理规定》（2018年12月10日国家发展和改革委令第22号）第一章 第六条 汽车整车和其他投资项目均由地方发展改革部门实施备案管理。其中，汽车整车投资项目由省级发展改革部门备案。</w:t>
            </w:r>
          </w:p>
          <w:p w14:paraId="33E9C522">
            <w:pPr>
              <w:widowControl/>
              <w:spacing w:line="240" w:lineRule="exact"/>
              <w:jc w:val="left"/>
              <w:textAlignment w:val="center"/>
              <w:rPr>
                <w:rFonts w:ascii="宋体" w:hAnsi="宋体" w:cs="宋体"/>
                <w:color w:val="000000"/>
                <w:sz w:val="18"/>
                <w:szCs w:val="18"/>
              </w:rPr>
            </w:pPr>
            <w:r>
              <w:rPr>
                <w:rFonts w:hint="eastAsia" w:ascii="宋体" w:hAnsi="宋体" w:cs="宋体"/>
                <w:color w:val="000000"/>
                <w:kern w:val="0"/>
                <w:sz w:val="18"/>
                <w:szCs w:val="18"/>
              </w:rPr>
              <w:t>【规范性文件】《辽宁省人民政府关于取消下放调整一批行政职权事项的决定》（辽政发〔2019〕16号）下放到市级发展改革部门实施。</w:t>
            </w:r>
          </w:p>
        </w:tc>
        <w:tc>
          <w:tcPr>
            <w:tcW w:w="927" w:type="dxa"/>
            <w:tcBorders>
              <w:top w:val="single" w:color="000000" w:sz="4" w:space="0"/>
              <w:left w:val="single" w:color="000000" w:sz="4" w:space="0"/>
              <w:bottom w:val="single" w:color="000000" w:sz="4" w:space="0"/>
              <w:right w:val="single" w:color="000000" w:sz="4" w:space="0"/>
            </w:tcBorders>
            <w:vAlign w:val="center"/>
          </w:tcPr>
          <w:p w14:paraId="79CF74B0">
            <w:pPr>
              <w:widowControl/>
              <w:spacing w:line="240" w:lineRule="exact"/>
              <w:jc w:val="center"/>
              <w:textAlignment w:val="center"/>
              <w:rPr>
                <w:rFonts w:ascii="宋体" w:hAnsi="宋体" w:cs="宋体"/>
                <w:color w:val="000000"/>
                <w:sz w:val="18"/>
                <w:szCs w:val="18"/>
              </w:rPr>
            </w:pPr>
            <w:r>
              <w:rPr>
                <w:rFonts w:hint="eastAsia" w:ascii="宋体" w:hAnsi="宋体" w:cs="宋体"/>
                <w:color w:val="000000"/>
                <w:kern w:val="0"/>
                <w:sz w:val="18"/>
                <w:szCs w:val="18"/>
              </w:rPr>
              <w:t>县发改局</w:t>
            </w:r>
          </w:p>
        </w:tc>
        <w:tc>
          <w:tcPr>
            <w:tcW w:w="924" w:type="dxa"/>
            <w:tcBorders>
              <w:top w:val="single" w:color="000000" w:sz="4" w:space="0"/>
              <w:left w:val="single" w:color="000000" w:sz="4" w:space="0"/>
              <w:bottom w:val="single" w:color="000000" w:sz="4" w:space="0"/>
              <w:right w:val="single" w:color="000000" w:sz="4" w:space="0"/>
            </w:tcBorders>
            <w:vAlign w:val="center"/>
          </w:tcPr>
          <w:p w14:paraId="361CF23F">
            <w:pPr>
              <w:widowControl/>
              <w:spacing w:line="240" w:lineRule="exact"/>
              <w:jc w:val="left"/>
              <w:textAlignment w:val="center"/>
              <w:rPr>
                <w:rFonts w:ascii="宋体" w:hAnsi="宋体" w:cs="宋体"/>
                <w:color w:val="000000"/>
                <w:sz w:val="18"/>
                <w:szCs w:val="18"/>
              </w:rPr>
            </w:pPr>
            <w:r>
              <w:rPr>
                <w:rFonts w:hint="eastAsia" w:ascii="宋体" w:hAnsi="宋体" w:cs="宋体"/>
                <w:color w:val="000000"/>
                <w:kern w:val="0"/>
                <w:sz w:val="18"/>
                <w:szCs w:val="18"/>
              </w:rPr>
              <w:t>承接</w:t>
            </w:r>
          </w:p>
        </w:tc>
        <w:tc>
          <w:tcPr>
            <w:tcW w:w="1020" w:type="dxa"/>
            <w:tcBorders>
              <w:top w:val="single" w:color="000000" w:sz="4" w:space="0"/>
              <w:left w:val="single" w:color="000000" w:sz="4" w:space="0"/>
              <w:bottom w:val="single" w:color="000000" w:sz="4" w:space="0"/>
              <w:right w:val="single" w:color="000000" w:sz="4" w:space="0"/>
            </w:tcBorders>
            <w:vAlign w:val="center"/>
          </w:tcPr>
          <w:p w14:paraId="5402BB9F">
            <w:pPr>
              <w:widowControl/>
              <w:spacing w:line="240" w:lineRule="exact"/>
              <w:jc w:val="left"/>
              <w:textAlignment w:val="center"/>
              <w:rPr>
                <w:rFonts w:ascii="宋体" w:hAnsi="宋体" w:cs="宋体"/>
                <w:color w:val="000000"/>
                <w:sz w:val="18"/>
                <w:szCs w:val="18"/>
              </w:rPr>
            </w:pPr>
            <w:r>
              <w:rPr>
                <w:rFonts w:hint="eastAsia" w:ascii="宋体" w:hAnsi="宋体" w:cs="宋体"/>
                <w:color w:val="000000"/>
                <w:kern w:val="0"/>
                <w:sz w:val="18"/>
                <w:szCs w:val="18"/>
              </w:rPr>
              <w:t>建立随机抽查监管机制，对承接事项进行跟踪检查。</w:t>
            </w:r>
          </w:p>
        </w:tc>
        <w:tc>
          <w:tcPr>
            <w:tcW w:w="597" w:type="dxa"/>
            <w:gridSpan w:val="2"/>
            <w:tcBorders>
              <w:top w:val="single" w:color="000000" w:sz="4" w:space="0"/>
              <w:left w:val="single" w:color="000000" w:sz="4" w:space="0"/>
              <w:bottom w:val="single" w:color="000000" w:sz="4" w:space="0"/>
              <w:right w:val="single" w:color="000000" w:sz="4" w:space="0"/>
            </w:tcBorders>
            <w:vAlign w:val="center"/>
          </w:tcPr>
          <w:p w14:paraId="3B7E2E49">
            <w:pPr>
              <w:widowControl/>
              <w:spacing w:line="240" w:lineRule="exact"/>
              <w:jc w:val="left"/>
              <w:textAlignment w:val="center"/>
              <w:rPr>
                <w:rFonts w:ascii="宋体" w:hAnsi="宋体" w:cs="宋体"/>
                <w:color w:val="000000"/>
                <w:sz w:val="18"/>
                <w:szCs w:val="18"/>
              </w:rPr>
            </w:pPr>
            <w:r>
              <w:rPr>
                <w:rFonts w:hint="eastAsia" w:ascii="宋体" w:hAnsi="宋体" w:cs="宋体"/>
                <w:color w:val="000000"/>
                <w:kern w:val="0"/>
                <w:sz w:val="18"/>
                <w:szCs w:val="18"/>
              </w:rPr>
              <w:t>此事项为工程建设项目审批事项。</w:t>
            </w:r>
          </w:p>
        </w:tc>
      </w:tr>
      <w:tr w14:paraId="5D4CDD5C">
        <w:tblPrEx>
          <w:tblCellMar>
            <w:top w:w="0" w:type="dxa"/>
            <w:left w:w="108" w:type="dxa"/>
            <w:bottom w:w="0" w:type="dxa"/>
            <w:right w:w="108" w:type="dxa"/>
          </w:tblCellMar>
        </w:tblPrEx>
        <w:trPr>
          <w:trHeight w:val="2280" w:hRule="atLeast"/>
          <w:jc w:val="center"/>
        </w:trPr>
        <w:tc>
          <w:tcPr>
            <w:tcW w:w="758" w:type="dxa"/>
            <w:tcBorders>
              <w:top w:val="single" w:color="000000" w:sz="4" w:space="0"/>
              <w:left w:val="single" w:color="000000" w:sz="4" w:space="0"/>
              <w:bottom w:val="single" w:color="000000" w:sz="4" w:space="0"/>
              <w:right w:val="single" w:color="000000" w:sz="4" w:space="0"/>
            </w:tcBorders>
            <w:vAlign w:val="center"/>
          </w:tcPr>
          <w:p w14:paraId="638DAAB5">
            <w:pPr>
              <w:widowControl/>
              <w:spacing w:line="240" w:lineRule="exact"/>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1147" w:type="dxa"/>
            <w:tcBorders>
              <w:top w:val="single" w:color="000000" w:sz="4" w:space="0"/>
              <w:left w:val="single" w:color="000000" w:sz="4" w:space="0"/>
              <w:bottom w:val="single" w:color="000000" w:sz="4" w:space="0"/>
              <w:right w:val="single" w:color="000000" w:sz="4" w:space="0"/>
            </w:tcBorders>
            <w:vAlign w:val="center"/>
          </w:tcPr>
          <w:p w14:paraId="410249FC">
            <w:pPr>
              <w:widowControl/>
              <w:spacing w:line="240" w:lineRule="exact"/>
              <w:jc w:val="left"/>
              <w:textAlignment w:val="center"/>
              <w:rPr>
                <w:rFonts w:ascii="宋体" w:hAnsi="宋体" w:cs="宋体"/>
                <w:color w:val="000000"/>
                <w:sz w:val="18"/>
                <w:szCs w:val="18"/>
              </w:rPr>
            </w:pPr>
            <w:r>
              <w:rPr>
                <w:rFonts w:hint="eastAsia" w:ascii="宋体" w:hAnsi="宋体" w:cs="宋体"/>
                <w:color w:val="000000"/>
                <w:kern w:val="0"/>
                <w:sz w:val="18"/>
                <w:szCs w:val="18"/>
              </w:rPr>
              <w:t>企业、事业单位、社会团体等投资建设的固定资产项目备案</w:t>
            </w:r>
          </w:p>
        </w:tc>
        <w:tc>
          <w:tcPr>
            <w:tcW w:w="998" w:type="dxa"/>
            <w:tcBorders>
              <w:top w:val="single" w:color="000000" w:sz="4" w:space="0"/>
              <w:left w:val="single" w:color="000000" w:sz="4" w:space="0"/>
              <w:bottom w:val="single" w:color="000000" w:sz="4" w:space="0"/>
              <w:right w:val="single" w:color="000000" w:sz="4" w:space="0"/>
            </w:tcBorders>
            <w:vAlign w:val="center"/>
          </w:tcPr>
          <w:p w14:paraId="2AD8D55D">
            <w:pPr>
              <w:widowControl/>
              <w:spacing w:line="240" w:lineRule="exact"/>
              <w:jc w:val="left"/>
              <w:textAlignment w:val="center"/>
              <w:rPr>
                <w:rFonts w:ascii="宋体" w:hAnsi="宋体" w:cs="宋体"/>
                <w:color w:val="000000"/>
                <w:sz w:val="18"/>
                <w:szCs w:val="18"/>
              </w:rPr>
            </w:pPr>
            <w:r>
              <w:rPr>
                <w:rFonts w:hint="eastAsia" w:ascii="宋体" w:hAnsi="宋体" w:cs="宋体"/>
                <w:color w:val="000000"/>
                <w:kern w:val="0"/>
                <w:sz w:val="18"/>
                <w:szCs w:val="18"/>
              </w:rPr>
              <w:t>9.车用动力电池回收、梯级利用、再生利用与处置等投资项目备案</w:t>
            </w:r>
          </w:p>
        </w:tc>
        <w:tc>
          <w:tcPr>
            <w:tcW w:w="966" w:type="dxa"/>
            <w:tcBorders>
              <w:top w:val="single" w:color="000000" w:sz="4" w:space="0"/>
              <w:left w:val="single" w:color="000000" w:sz="4" w:space="0"/>
              <w:bottom w:val="single" w:color="000000" w:sz="4" w:space="0"/>
              <w:right w:val="single" w:color="000000" w:sz="4" w:space="0"/>
            </w:tcBorders>
            <w:vAlign w:val="center"/>
          </w:tcPr>
          <w:p w14:paraId="597D4CD8">
            <w:pPr>
              <w:widowControl/>
              <w:spacing w:line="240" w:lineRule="exact"/>
              <w:jc w:val="center"/>
              <w:textAlignment w:val="center"/>
              <w:rPr>
                <w:rFonts w:ascii="宋体" w:hAnsi="宋体" w:cs="宋体"/>
                <w:color w:val="000000"/>
                <w:sz w:val="18"/>
                <w:szCs w:val="18"/>
              </w:rPr>
            </w:pPr>
            <w:r>
              <w:rPr>
                <w:rFonts w:hint="eastAsia" w:ascii="宋体" w:hAnsi="宋体" w:cs="宋体"/>
                <w:color w:val="000000"/>
                <w:kern w:val="0"/>
                <w:sz w:val="18"/>
                <w:szCs w:val="18"/>
              </w:rPr>
              <w:t>其他行政权力</w:t>
            </w:r>
          </w:p>
        </w:tc>
        <w:tc>
          <w:tcPr>
            <w:tcW w:w="2869" w:type="dxa"/>
            <w:tcBorders>
              <w:top w:val="single" w:color="000000" w:sz="4" w:space="0"/>
              <w:left w:val="single" w:color="000000" w:sz="4" w:space="0"/>
              <w:bottom w:val="single" w:color="000000" w:sz="4" w:space="0"/>
              <w:right w:val="single" w:color="000000" w:sz="4" w:space="0"/>
            </w:tcBorders>
            <w:vAlign w:val="center"/>
          </w:tcPr>
          <w:p w14:paraId="6AEA9FD5">
            <w:pPr>
              <w:widowControl/>
              <w:spacing w:line="240" w:lineRule="exact"/>
              <w:jc w:val="left"/>
              <w:textAlignment w:val="center"/>
              <w:rPr>
                <w:rFonts w:hint="eastAsia" w:ascii="宋体" w:hAnsi="宋体" w:eastAsia="宋体" w:cs="宋体"/>
                <w:color w:val="000000"/>
                <w:kern w:val="0"/>
                <w:sz w:val="18"/>
                <w:szCs w:val="18"/>
                <w:lang w:eastAsia="zh-CN"/>
              </w:rPr>
            </w:pPr>
            <w:r>
              <w:rPr>
                <w:rFonts w:hint="eastAsia" w:ascii="宋体" w:hAnsi="宋体" w:cs="宋体"/>
                <w:color w:val="000000"/>
                <w:kern w:val="0"/>
                <w:sz w:val="18"/>
                <w:szCs w:val="18"/>
              </w:rPr>
              <w:t>【行政法规】《企业投资项目核准和备案管理条例》（2016年12月14日国务院令第673号）</w:t>
            </w:r>
          </w:p>
          <w:p w14:paraId="4A83B774">
            <w:pPr>
              <w:widowControl/>
              <w:spacing w:line="240" w:lineRule="exact"/>
              <w:jc w:val="left"/>
              <w:textAlignment w:val="center"/>
              <w:rPr>
                <w:rFonts w:hint="eastAsia" w:ascii="宋体" w:hAnsi="宋体" w:eastAsia="宋体" w:cs="宋体"/>
                <w:color w:val="000000"/>
                <w:kern w:val="0"/>
                <w:sz w:val="18"/>
                <w:szCs w:val="18"/>
                <w:lang w:eastAsia="zh-CN"/>
              </w:rPr>
            </w:pPr>
            <w:r>
              <w:rPr>
                <w:rFonts w:hint="eastAsia" w:ascii="宋体" w:hAnsi="宋体" w:cs="宋体"/>
                <w:color w:val="000000"/>
                <w:kern w:val="0"/>
                <w:sz w:val="18"/>
                <w:szCs w:val="18"/>
              </w:rPr>
              <w:t>第三条　对关系国家安全、涉及全国重大生产力布局、战略性资源开发和重大公共利益等项目，实行核准管理。具体项目范围以及核准机关、核准权限依照政府核准的投资项目目录执行。政府核准的投资项目目录由国务院投资主管部门会同国务院有关部门提出，报国务院批准后实施，并适时调整。国务院另有规定的，依照其规定。对前款规定以外的项目，实行备案管理。对前款规定以外的项目，实行备案管理。除国务院另有规定的，实行备案管理的项目按照属地原则备案，备案机关及其权限由省、自治区、直辖市和计划单列市人民政府规定。</w:t>
            </w:r>
          </w:p>
          <w:p w14:paraId="421E44EE">
            <w:pPr>
              <w:widowControl/>
              <w:spacing w:line="240" w:lineRule="exact"/>
              <w:jc w:val="left"/>
              <w:textAlignment w:val="center"/>
              <w:rPr>
                <w:rFonts w:hint="eastAsia" w:ascii="宋体" w:hAnsi="宋体" w:eastAsia="宋体" w:cs="宋体"/>
                <w:color w:val="000000"/>
                <w:spacing w:val="-6"/>
                <w:kern w:val="0"/>
                <w:sz w:val="18"/>
                <w:szCs w:val="18"/>
                <w:lang w:eastAsia="zh-CN"/>
              </w:rPr>
            </w:pPr>
            <w:r>
              <w:rPr>
                <w:rFonts w:hint="eastAsia" w:ascii="宋体" w:hAnsi="宋体" w:cs="宋体"/>
                <w:color w:val="000000"/>
                <w:spacing w:val="-6"/>
                <w:kern w:val="0"/>
                <w:sz w:val="18"/>
                <w:szCs w:val="18"/>
              </w:rPr>
              <w:t>【部门规章】《企业投资项目核准和备案管理办法（国家发展和改革委员会 2017年第2号令）》第四条：对关系国家安全、涉及全国重大生产力布局、战略性资源开发和重大公共利益等项目，实行核准管理。《汽车产业投资管理规定》（2018年12月10日国家发展和改革委令第22号）第一章 第六条 汽车整车和其他投资项目均由地方发展改革部门实施备案管理。其中，汽车整车投资项目由省级发展改革部门备案。</w:t>
            </w:r>
          </w:p>
          <w:p w14:paraId="4931EA6E">
            <w:pPr>
              <w:widowControl/>
              <w:spacing w:line="240" w:lineRule="exact"/>
              <w:jc w:val="left"/>
              <w:textAlignment w:val="center"/>
              <w:rPr>
                <w:rFonts w:ascii="宋体" w:hAnsi="宋体" w:cs="宋体"/>
                <w:color w:val="000000"/>
                <w:sz w:val="18"/>
                <w:szCs w:val="18"/>
              </w:rPr>
            </w:pPr>
            <w:r>
              <w:rPr>
                <w:rFonts w:hint="eastAsia" w:ascii="宋体" w:hAnsi="宋体" w:cs="宋体"/>
                <w:color w:val="000000"/>
                <w:kern w:val="0"/>
                <w:sz w:val="18"/>
                <w:szCs w:val="18"/>
              </w:rPr>
              <w:t>【规范性文件】《辽宁省人民政府关于取消下放调整一批行政职权事项的决定》（辽政发〔2019〕16号）下放到市级发展改革部门实施。</w:t>
            </w:r>
          </w:p>
        </w:tc>
        <w:tc>
          <w:tcPr>
            <w:tcW w:w="927" w:type="dxa"/>
            <w:tcBorders>
              <w:top w:val="single" w:color="000000" w:sz="4" w:space="0"/>
              <w:left w:val="single" w:color="000000" w:sz="4" w:space="0"/>
              <w:bottom w:val="single" w:color="000000" w:sz="4" w:space="0"/>
              <w:right w:val="single" w:color="000000" w:sz="4" w:space="0"/>
            </w:tcBorders>
            <w:vAlign w:val="center"/>
          </w:tcPr>
          <w:p w14:paraId="6F588110">
            <w:pPr>
              <w:widowControl/>
              <w:spacing w:line="240" w:lineRule="exact"/>
              <w:jc w:val="center"/>
              <w:textAlignment w:val="center"/>
              <w:rPr>
                <w:rFonts w:ascii="宋体" w:hAnsi="宋体" w:cs="宋体"/>
                <w:color w:val="000000"/>
                <w:sz w:val="18"/>
                <w:szCs w:val="18"/>
              </w:rPr>
            </w:pPr>
            <w:r>
              <w:rPr>
                <w:rFonts w:hint="eastAsia" w:ascii="宋体" w:hAnsi="宋体" w:cs="宋体"/>
                <w:color w:val="000000"/>
                <w:kern w:val="0"/>
                <w:sz w:val="18"/>
                <w:szCs w:val="18"/>
              </w:rPr>
              <w:t>县发改局</w:t>
            </w:r>
          </w:p>
        </w:tc>
        <w:tc>
          <w:tcPr>
            <w:tcW w:w="924" w:type="dxa"/>
            <w:tcBorders>
              <w:top w:val="single" w:color="000000" w:sz="4" w:space="0"/>
              <w:left w:val="single" w:color="000000" w:sz="4" w:space="0"/>
              <w:bottom w:val="single" w:color="000000" w:sz="4" w:space="0"/>
              <w:right w:val="single" w:color="000000" w:sz="4" w:space="0"/>
            </w:tcBorders>
            <w:vAlign w:val="center"/>
          </w:tcPr>
          <w:p w14:paraId="06D1D7EB">
            <w:pPr>
              <w:widowControl/>
              <w:spacing w:line="240" w:lineRule="exact"/>
              <w:jc w:val="left"/>
              <w:textAlignment w:val="center"/>
              <w:rPr>
                <w:rFonts w:ascii="宋体" w:hAnsi="宋体" w:cs="宋体"/>
                <w:color w:val="000000"/>
                <w:sz w:val="18"/>
                <w:szCs w:val="18"/>
              </w:rPr>
            </w:pPr>
            <w:r>
              <w:rPr>
                <w:rFonts w:hint="eastAsia" w:ascii="宋体" w:hAnsi="宋体" w:cs="宋体"/>
                <w:color w:val="000000"/>
                <w:kern w:val="0"/>
                <w:sz w:val="18"/>
                <w:szCs w:val="18"/>
              </w:rPr>
              <w:t>承接</w:t>
            </w:r>
          </w:p>
        </w:tc>
        <w:tc>
          <w:tcPr>
            <w:tcW w:w="1020" w:type="dxa"/>
            <w:tcBorders>
              <w:top w:val="single" w:color="000000" w:sz="4" w:space="0"/>
              <w:left w:val="single" w:color="000000" w:sz="4" w:space="0"/>
              <w:bottom w:val="single" w:color="000000" w:sz="4" w:space="0"/>
              <w:right w:val="single" w:color="000000" w:sz="4" w:space="0"/>
            </w:tcBorders>
            <w:vAlign w:val="center"/>
          </w:tcPr>
          <w:p w14:paraId="2A97208C">
            <w:pPr>
              <w:widowControl/>
              <w:spacing w:line="240" w:lineRule="exact"/>
              <w:jc w:val="left"/>
              <w:textAlignment w:val="center"/>
              <w:rPr>
                <w:rFonts w:ascii="宋体" w:hAnsi="宋体" w:cs="宋体"/>
                <w:color w:val="000000"/>
                <w:sz w:val="18"/>
                <w:szCs w:val="18"/>
              </w:rPr>
            </w:pPr>
            <w:r>
              <w:rPr>
                <w:rFonts w:hint="eastAsia" w:ascii="宋体" w:hAnsi="宋体" w:cs="宋体"/>
                <w:color w:val="000000"/>
                <w:kern w:val="0"/>
                <w:sz w:val="18"/>
                <w:szCs w:val="18"/>
              </w:rPr>
              <w:t>建立随机抽查监管机制，对承接事项进行跟踪检查。</w:t>
            </w:r>
          </w:p>
        </w:tc>
        <w:tc>
          <w:tcPr>
            <w:tcW w:w="597" w:type="dxa"/>
            <w:gridSpan w:val="2"/>
            <w:tcBorders>
              <w:top w:val="single" w:color="000000" w:sz="4" w:space="0"/>
              <w:left w:val="single" w:color="000000" w:sz="4" w:space="0"/>
              <w:bottom w:val="single" w:color="000000" w:sz="4" w:space="0"/>
              <w:right w:val="single" w:color="000000" w:sz="4" w:space="0"/>
            </w:tcBorders>
            <w:vAlign w:val="center"/>
          </w:tcPr>
          <w:p w14:paraId="695DDD1A">
            <w:pPr>
              <w:widowControl/>
              <w:spacing w:line="240" w:lineRule="exact"/>
              <w:jc w:val="left"/>
              <w:textAlignment w:val="center"/>
              <w:rPr>
                <w:rFonts w:ascii="宋体" w:hAnsi="宋体" w:cs="宋体"/>
                <w:color w:val="000000"/>
                <w:sz w:val="18"/>
                <w:szCs w:val="18"/>
              </w:rPr>
            </w:pPr>
            <w:r>
              <w:rPr>
                <w:rFonts w:hint="eastAsia" w:ascii="宋体" w:hAnsi="宋体" w:cs="宋体"/>
                <w:color w:val="000000"/>
                <w:kern w:val="0"/>
                <w:sz w:val="18"/>
                <w:szCs w:val="18"/>
              </w:rPr>
              <w:t>此事项为工程建设项目审批事项。</w:t>
            </w:r>
          </w:p>
        </w:tc>
      </w:tr>
      <w:tr w14:paraId="2C03719E">
        <w:tblPrEx>
          <w:tblCellMar>
            <w:top w:w="0" w:type="dxa"/>
            <w:left w:w="108" w:type="dxa"/>
            <w:bottom w:w="0" w:type="dxa"/>
            <w:right w:w="108" w:type="dxa"/>
          </w:tblCellMar>
        </w:tblPrEx>
        <w:trPr>
          <w:trHeight w:val="90" w:hRule="atLeast"/>
          <w:jc w:val="center"/>
        </w:trPr>
        <w:tc>
          <w:tcPr>
            <w:tcW w:w="758" w:type="dxa"/>
            <w:tcBorders>
              <w:top w:val="single" w:color="000000" w:sz="4" w:space="0"/>
              <w:left w:val="single" w:color="000000" w:sz="4" w:space="0"/>
              <w:bottom w:val="single" w:color="000000" w:sz="4" w:space="0"/>
              <w:right w:val="single" w:color="000000" w:sz="4" w:space="0"/>
            </w:tcBorders>
            <w:vAlign w:val="center"/>
          </w:tcPr>
          <w:p w14:paraId="173A3C2B">
            <w:pPr>
              <w:widowControl/>
              <w:spacing w:line="240" w:lineRule="exact"/>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1147" w:type="dxa"/>
            <w:tcBorders>
              <w:top w:val="single" w:color="000000" w:sz="4" w:space="0"/>
              <w:left w:val="single" w:color="000000" w:sz="4" w:space="0"/>
              <w:bottom w:val="single" w:color="000000" w:sz="4" w:space="0"/>
              <w:right w:val="single" w:color="000000" w:sz="4" w:space="0"/>
            </w:tcBorders>
            <w:vAlign w:val="center"/>
          </w:tcPr>
          <w:p w14:paraId="785FD460">
            <w:pPr>
              <w:widowControl/>
              <w:spacing w:line="240" w:lineRule="exact"/>
              <w:jc w:val="left"/>
              <w:textAlignment w:val="center"/>
              <w:rPr>
                <w:rFonts w:ascii="宋体" w:hAnsi="宋体" w:cs="宋体"/>
                <w:color w:val="000000"/>
                <w:sz w:val="18"/>
                <w:szCs w:val="18"/>
              </w:rPr>
            </w:pPr>
            <w:r>
              <w:rPr>
                <w:rFonts w:hint="eastAsia" w:ascii="宋体" w:hAnsi="宋体" w:cs="宋体"/>
                <w:color w:val="000000"/>
                <w:kern w:val="0"/>
                <w:sz w:val="18"/>
                <w:szCs w:val="18"/>
              </w:rPr>
              <w:t>企业、事业单位、社会团体等投资建设的固定资产项目备案</w:t>
            </w:r>
          </w:p>
        </w:tc>
        <w:tc>
          <w:tcPr>
            <w:tcW w:w="998" w:type="dxa"/>
            <w:tcBorders>
              <w:top w:val="single" w:color="000000" w:sz="4" w:space="0"/>
              <w:left w:val="single" w:color="000000" w:sz="4" w:space="0"/>
              <w:bottom w:val="single" w:color="000000" w:sz="4" w:space="0"/>
              <w:right w:val="single" w:color="000000" w:sz="4" w:space="0"/>
            </w:tcBorders>
            <w:vAlign w:val="center"/>
          </w:tcPr>
          <w:p w14:paraId="3C58EFD8">
            <w:pPr>
              <w:widowControl/>
              <w:spacing w:line="240" w:lineRule="exact"/>
              <w:jc w:val="left"/>
              <w:textAlignment w:val="center"/>
              <w:rPr>
                <w:rFonts w:ascii="宋体" w:hAnsi="宋体" w:cs="宋体"/>
                <w:color w:val="000000"/>
                <w:sz w:val="18"/>
                <w:szCs w:val="18"/>
              </w:rPr>
            </w:pPr>
            <w:r>
              <w:rPr>
                <w:rFonts w:hint="eastAsia" w:ascii="宋体" w:hAnsi="宋体" w:cs="宋体"/>
                <w:color w:val="000000"/>
                <w:kern w:val="0"/>
                <w:sz w:val="18"/>
                <w:szCs w:val="18"/>
              </w:rPr>
              <w:t>10.汽车零部件再制造投资项目备案</w:t>
            </w:r>
          </w:p>
        </w:tc>
        <w:tc>
          <w:tcPr>
            <w:tcW w:w="966" w:type="dxa"/>
            <w:tcBorders>
              <w:top w:val="single" w:color="000000" w:sz="4" w:space="0"/>
              <w:left w:val="single" w:color="000000" w:sz="4" w:space="0"/>
              <w:bottom w:val="single" w:color="000000" w:sz="4" w:space="0"/>
              <w:right w:val="single" w:color="000000" w:sz="4" w:space="0"/>
            </w:tcBorders>
            <w:vAlign w:val="center"/>
          </w:tcPr>
          <w:p w14:paraId="1D5523E4">
            <w:pPr>
              <w:widowControl/>
              <w:spacing w:line="240" w:lineRule="exact"/>
              <w:jc w:val="center"/>
              <w:textAlignment w:val="center"/>
              <w:rPr>
                <w:rFonts w:ascii="宋体" w:hAnsi="宋体" w:cs="宋体"/>
                <w:color w:val="000000"/>
                <w:sz w:val="18"/>
                <w:szCs w:val="18"/>
              </w:rPr>
            </w:pPr>
            <w:r>
              <w:rPr>
                <w:rFonts w:hint="eastAsia" w:ascii="宋体" w:hAnsi="宋体" w:cs="宋体"/>
                <w:color w:val="000000"/>
                <w:kern w:val="0"/>
                <w:sz w:val="18"/>
                <w:szCs w:val="18"/>
              </w:rPr>
              <w:t>其他行政权力</w:t>
            </w:r>
          </w:p>
        </w:tc>
        <w:tc>
          <w:tcPr>
            <w:tcW w:w="2869" w:type="dxa"/>
            <w:tcBorders>
              <w:top w:val="single" w:color="000000" w:sz="4" w:space="0"/>
              <w:left w:val="single" w:color="000000" w:sz="4" w:space="0"/>
              <w:bottom w:val="single" w:color="000000" w:sz="4" w:space="0"/>
              <w:right w:val="single" w:color="000000" w:sz="4" w:space="0"/>
            </w:tcBorders>
            <w:vAlign w:val="center"/>
          </w:tcPr>
          <w:p w14:paraId="0E4E7C49">
            <w:pPr>
              <w:widowControl/>
              <w:spacing w:line="232" w:lineRule="exact"/>
              <w:jc w:val="left"/>
              <w:textAlignment w:val="center"/>
              <w:rPr>
                <w:rFonts w:hint="eastAsia" w:ascii="宋体" w:hAnsi="宋体" w:eastAsia="宋体" w:cs="宋体"/>
                <w:color w:val="000000"/>
                <w:kern w:val="0"/>
                <w:sz w:val="18"/>
                <w:szCs w:val="18"/>
                <w:lang w:eastAsia="zh-CN"/>
              </w:rPr>
            </w:pPr>
            <w:r>
              <w:rPr>
                <w:rFonts w:hint="eastAsia" w:ascii="宋体" w:hAnsi="宋体" w:cs="宋体"/>
                <w:color w:val="000000"/>
                <w:kern w:val="0"/>
                <w:sz w:val="18"/>
                <w:szCs w:val="18"/>
              </w:rPr>
              <w:t>【行政法规】《企业投资项目核准和备案管理条例》（2016年12月14日国务院令第673号）</w:t>
            </w:r>
          </w:p>
          <w:p w14:paraId="6FF87835">
            <w:pPr>
              <w:widowControl/>
              <w:spacing w:line="232" w:lineRule="exact"/>
              <w:jc w:val="left"/>
              <w:textAlignment w:val="center"/>
              <w:rPr>
                <w:rFonts w:hint="eastAsia" w:ascii="宋体" w:hAnsi="宋体" w:eastAsia="宋体" w:cs="宋体"/>
                <w:color w:val="000000"/>
                <w:kern w:val="0"/>
                <w:sz w:val="18"/>
                <w:szCs w:val="18"/>
                <w:lang w:eastAsia="zh-CN"/>
              </w:rPr>
            </w:pPr>
            <w:r>
              <w:rPr>
                <w:rFonts w:hint="eastAsia" w:ascii="宋体" w:hAnsi="宋体" w:cs="宋体"/>
                <w:color w:val="000000"/>
                <w:kern w:val="0"/>
                <w:sz w:val="18"/>
                <w:szCs w:val="18"/>
              </w:rPr>
              <w:t>第三条　对关系国家安全、涉及全国重大生产力布局、战略性资源开发和重大公共利益等项目，实行核准管理。具体项目范围以及核准机关、核准权限依照政府核准的投资项目目录执行。政府核准的投资项目目录由国务院投资主管部门会同国务院有关部门提出，报国务院批准后实施，并适时调整。国务院另有规定的，依照其规定。对前款规定以外的项目，实行备案管理。对前款规定以外的项目，实行备案管理。除国务院另有规定的，实行备案管理的项目按照属地原则备案，备案机关及其权限由省、自治区、直辖市和计划单列市人民政府规定。</w:t>
            </w:r>
          </w:p>
          <w:p w14:paraId="4E216E4B">
            <w:pPr>
              <w:widowControl/>
              <w:spacing w:line="232" w:lineRule="exact"/>
              <w:jc w:val="left"/>
              <w:textAlignment w:val="center"/>
              <w:rPr>
                <w:rFonts w:hint="eastAsia" w:ascii="宋体" w:hAnsi="宋体" w:eastAsia="宋体" w:cs="宋体"/>
                <w:color w:val="000000"/>
                <w:spacing w:val="-6"/>
                <w:kern w:val="0"/>
                <w:sz w:val="18"/>
                <w:szCs w:val="18"/>
                <w:lang w:eastAsia="zh-CN"/>
              </w:rPr>
            </w:pPr>
            <w:r>
              <w:rPr>
                <w:rFonts w:hint="eastAsia" w:ascii="宋体" w:hAnsi="宋体" w:cs="宋体"/>
                <w:color w:val="000000"/>
                <w:spacing w:val="-6"/>
                <w:kern w:val="0"/>
                <w:sz w:val="18"/>
                <w:szCs w:val="18"/>
              </w:rPr>
              <w:t>【部门规章】《企业投资项目核准和备案管理办法（国家发展和改革委员会 2017年第2号令）》第四条：对关系国家安全、涉及全国重大生产力布局、战略性资源开发和重大公共利益等项目，实行核准管理。《汽车产业投资管理规定》（2018年12月10日国家发展和改革委令第22号）第一章 第六条 汽车整车和其他投资项目均由地方发展改革部门实施备案管理。其中，汽车整车投资项目由省级发展改革部门备案。</w:t>
            </w:r>
          </w:p>
          <w:p w14:paraId="0AD9B69C">
            <w:pPr>
              <w:widowControl/>
              <w:spacing w:line="232" w:lineRule="exact"/>
              <w:jc w:val="left"/>
              <w:textAlignment w:val="center"/>
              <w:rPr>
                <w:rFonts w:ascii="宋体" w:hAnsi="宋体" w:cs="宋体"/>
                <w:color w:val="000000"/>
                <w:sz w:val="18"/>
                <w:szCs w:val="18"/>
              </w:rPr>
            </w:pPr>
            <w:r>
              <w:rPr>
                <w:rFonts w:hint="eastAsia" w:ascii="宋体" w:hAnsi="宋体" w:cs="宋体"/>
                <w:color w:val="000000"/>
                <w:kern w:val="0"/>
                <w:sz w:val="18"/>
                <w:szCs w:val="18"/>
              </w:rPr>
              <w:t>【规范性文件】《辽宁省人民政府关于取消下放调整一批行政职权事项的决定》（辽政发〔2019〕16号）下放到市级发展改革部门实施。</w:t>
            </w:r>
          </w:p>
        </w:tc>
        <w:tc>
          <w:tcPr>
            <w:tcW w:w="927" w:type="dxa"/>
            <w:tcBorders>
              <w:top w:val="single" w:color="000000" w:sz="4" w:space="0"/>
              <w:left w:val="single" w:color="000000" w:sz="4" w:space="0"/>
              <w:bottom w:val="single" w:color="000000" w:sz="4" w:space="0"/>
              <w:right w:val="single" w:color="000000" w:sz="4" w:space="0"/>
            </w:tcBorders>
            <w:vAlign w:val="center"/>
          </w:tcPr>
          <w:p w14:paraId="5FE37317">
            <w:pPr>
              <w:widowControl/>
              <w:spacing w:line="240" w:lineRule="exact"/>
              <w:jc w:val="center"/>
              <w:textAlignment w:val="center"/>
              <w:rPr>
                <w:rFonts w:ascii="宋体" w:hAnsi="宋体" w:cs="宋体"/>
                <w:color w:val="000000"/>
                <w:sz w:val="18"/>
                <w:szCs w:val="18"/>
              </w:rPr>
            </w:pPr>
            <w:r>
              <w:rPr>
                <w:rFonts w:hint="eastAsia" w:ascii="宋体" w:hAnsi="宋体" w:cs="宋体"/>
                <w:color w:val="000000"/>
                <w:kern w:val="0"/>
                <w:sz w:val="18"/>
                <w:szCs w:val="18"/>
              </w:rPr>
              <w:t>县发改局</w:t>
            </w:r>
          </w:p>
        </w:tc>
        <w:tc>
          <w:tcPr>
            <w:tcW w:w="924" w:type="dxa"/>
            <w:tcBorders>
              <w:top w:val="single" w:color="000000" w:sz="4" w:space="0"/>
              <w:left w:val="single" w:color="000000" w:sz="4" w:space="0"/>
              <w:bottom w:val="single" w:color="000000" w:sz="4" w:space="0"/>
              <w:right w:val="single" w:color="000000" w:sz="4" w:space="0"/>
            </w:tcBorders>
            <w:vAlign w:val="center"/>
          </w:tcPr>
          <w:p w14:paraId="55E4D445">
            <w:pPr>
              <w:widowControl/>
              <w:spacing w:line="240" w:lineRule="exact"/>
              <w:jc w:val="left"/>
              <w:textAlignment w:val="center"/>
              <w:rPr>
                <w:rFonts w:ascii="宋体" w:hAnsi="宋体" w:cs="宋体"/>
                <w:color w:val="000000"/>
                <w:sz w:val="18"/>
                <w:szCs w:val="18"/>
              </w:rPr>
            </w:pPr>
            <w:r>
              <w:rPr>
                <w:rFonts w:hint="eastAsia" w:ascii="宋体" w:hAnsi="宋体" w:cs="宋体"/>
                <w:color w:val="000000"/>
                <w:kern w:val="0"/>
                <w:sz w:val="18"/>
                <w:szCs w:val="18"/>
              </w:rPr>
              <w:t>承接</w:t>
            </w:r>
          </w:p>
        </w:tc>
        <w:tc>
          <w:tcPr>
            <w:tcW w:w="1020" w:type="dxa"/>
            <w:tcBorders>
              <w:top w:val="single" w:color="000000" w:sz="4" w:space="0"/>
              <w:left w:val="single" w:color="000000" w:sz="4" w:space="0"/>
              <w:bottom w:val="single" w:color="000000" w:sz="4" w:space="0"/>
              <w:right w:val="single" w:color="000000" w:sz="4" w:space="0"/>
            </w:tcBorders>
            <w:vAlign w:val="center"/>
          </w:tcPr>
          <w:p w14:paraId="62E5ACD3">
            <w:pPr>
              <w:widowControl/>
              <w:spacing w:line="240" w:lineRule="exact"/>
              <w:jc w:val="left"/>
              <w:textAlignment w:val="center"/>
              <w:rPr>
                <w:rFonts w:ascii="宋体" w:hAnsi="宋体" w:cs="宋体"/>
                <w:color w:val="000000"/>
                <w:sz w:val="18"/>
                <w:szCs w:val="18"/>
              </w:rPr>
            </w:pPr>
            <w:r>
              <w:rPr>
                <w:rFonts w:hint="eastAsia" w:ascii="宋体" w:hAnsi="宋体" w:cs="宋体"/>
                <w:color w:val="000000"/>
                <w:kern w:val="0"/>
                <w:sz w:val="18"/>
                <w:szCs w:val="18"/>
              </w:rPr>
              <w:t>建立随机抽查监管机制，对承接事项进行跟踪检查。</w:t>
            </w:r>
          </w:p>
        </w:tc>
        <w:tc>
          <w:tcPr>
            <w:tcW w:w="597" w:type="dxa"/>
            <w:gridSpan w:val="2"/>
            <w:tcBorders>
              <w:top w:val="single" w:color="000000" w:sz="4" w:space="0"/>
              <w:left w:val="single" w:color="000000" w:sz="4" w:space="0"/>
              <w:bottom w:val="single" w:color="000000" w:sz="4" w:space="0"/>
              <w:right w:val="single" w:color="000000" w:sz="4" w:space="0"/>
            </w:tcBorders>
            <w:vAlign w:val="center"/>
          </w:tcPr>
          <w:p w14:paraId="3773A27B">
            <w:pPr>
              <w:widowControl/>
              <w:spacing w:line="240" w:lineRule="exact"/>
              <w:jc w:val="left"/>
              <w:textAlignment w:val="center"/>
              <w:rPr>
                <w:rFonts w:ascii="宋体" w:hAnsi="宋体" w:cs="宋体"/>
                <w:color w:val="000000"/>
                <w:sz w:val="18"/>
                <w:szCs w:val="18"/>
              </w:rPr>
            </w:pPr>
            <w:r>
              <w:rPr>
                <w:rFonts w:hint="eastAsia" w:ascii="宋体" w:hAnsi="宋体" w:cs="宋体"/>
                <w:color w:val="000000"/>
                <w:kern w:val="0"/>
                <w:sz w:val="18"/>
                <w:szCs w:val="18"/>
              </w:rPr>
              <w:t>此事项为工程建设项目审批事项。</w:t>
            </w:r>
          </w:p>
        </w:tc>
      </w:tr>
      <w:tr w14:paraId="42599EEB">
        <w:tblPrEx>
          <w:tblCellMar>
            <w:top w:w="0" w:type="dxa"/>
            <w:left w:w="108" w:type="dxa"/>
            <w:bottom w:w="0" w:type="dxa"/>
            <w:right w:w="108" w:type="dxa"/>
          </w:tblCellMar>
        </w:tblPrEx>
        <w:trPr>
          <w:trHeight w:val="2410" w:hRule="atLeast"/>
          <w:jc w:val="center"/>
        </w:trPr>
        <w:tc>
          <w:tcPr>
            <w:tcW w:w="758" w:type="dxa"/>
            <w:tcBorders>
              <w:top w:val="single" w:color="000000" w:sz="4" w:space="0"/>
              <w:left w:val="single" w:color="000000" w:sz="4" w:space="0"/>
              <w:bottom w:val="single" w:color="000000" w:sz="4" w:space="0"/>
              <w:right w:val="single" w:color="000000" w:sz="4" w:space="0"/>
            </w:tcBorders>
            <w:vAlign w:val="center"/>
          </w:tcPr>
          <w:p w14:paraId="1B04457C">
            <w:pPr>
              <w:widowControl/>
              <w:spacing w:line="240" w:lineRule="exact"/>
              <w:jc w:val="center"/>
              <w:textAlignment w:val="center"/>
              <w:rPr>
                <w:rFonts w:ascii="宋体" w:hAnsi="宋体" w:cs="宋体"/>
                <w:color w:val="000000"/>
                <w:sz w:val="18"/>
                <w:szCs w:val="18"/>
              </w:rPr>
            </w:pPr>
            <w:r>
              <w:rPr>
                <w:rFonts w:hint="eastAsia" w:ascii="宋体" w:hAnsi="宋体" w:cs="宋体"/>
                <w:color w:val="000000"/>
                <w:sz w:val="18"/>
                <w:szCs w:val="18"/>
              </w:rPr>
              <w:t>2</w:t>
            </w:r>
          </w:p>
        </w:tc>
        <w:tc>
          <w:tcPr>
            <w:tcW w:w="1147" w:type="dxa"/>
            <w:tcBorders>
              <w:top w:val="single" w:color="000000" w:sz="4" w:space="0"/>
              <w:left w:val="single" w:color="000000" w:sz="4" w:space="0"/>
              <w:bottom w:val="single" w:color="000000" w:sz="4" w:space="0"/>
              <w:right w:val="single" w:color="000000" w:sz="4" w:space="0"/>
            </w:tcBorders>
            <w:vAlign w:val="center"/>
          </w:tcPr>
          <w:p w14:paraId="121D2407">
            <w:pPr>
              <w:widowControl/>
              <w:spacing w:line="240" w:lineRule="exact"/>
              <w:jc w:val="left"/>
              <w:textAlignment w:val="center"/>
              <w:rPr>
                <w:rFonts w:ascii="宋体" w:hAnsi="宋体" w:cs="宋体"/>
                <w:color w:val="000000"/>
                <w:sz w:val="18"/>
                <w:szCs w:val="18"/>
              </w:rPr>
            </w:pPr>
            <w:r>
              <w:rPr>
                <w:rFonts w:hint="eastAsia" w:ascii="宋体" w:hAnsi="宋体" w:cs="宋体"/>
                <w:color w:val="000000"/>
                <w:kern w:val="0"/>
                <w:sz w:val="18"/>
                <w:szCs w:val="18"/>
              </w:rPr>
              <w:t>城市供热经营许可</w:t>
            </w:r>
          </w:p>
        </w:tc>
        <w:tc>
          <w:tcPr>
            <w:tcW w:w="998" w:type="dxa"/>
            <w:tcBorders>
              <w:top w:val="single" w:color="000000" w:sz="4" w:space="0"/>
              <w:left w:val="single" w:color="000000" w:sz="4" w:space="0"/>
              <w:bottom w:val="single" w:color="000000" w:sz="4" w:space="0"/>
              <w:right w:val="single" w:color="000000" w:sz="4" w:space="0"/>
            </w:tcBorders>
            <w:vAlign w:val="center"/>
          </w:tcPr>
          <w:p w14:paraId="1C34F9B2">
            <w:pPr>
              <w:spacing w:line="240" w:lineRule="exact"/>
              <w:jc w:val="left"/>
              <w:rPr>
                <w:rFonts w:ascii="宋体" w:hAnsi="宋体" w:cs="宋体"/>
                <w:color w:val="000000"/>
                <w:sz w:val="18"/>
                <w:szCs w:val="18"/>
              </w:rPr>
            </w:pPr>
          </w:p>
        </w:tc>
        <w:tc>
          <w:tcPr>
            <w:tcW w:w="966" w:type="dxa"/>
            <w:tcBorders>
              <w:top w:val="single" w:color="000000" w:sz="4" w:space="0"/>
              <w:left w:val="single" w:color="000000" w:sz="4" w:space="0"/>
              <w:bottom w:val="single" w:color="000000" w:sz="4" w:space="0"/>
              <w:right w:val="single" w:color="000000" w:sz="4" w:space="0"/>
            </w:tcBorders>
            <w:vAlign w:val="center"/>
          </w:tcPr>
          <w:p w14:paraId="4AEB4CA2">
            <w:pPr>
              <w:widowControl/>
              <w:spacing w:line="240" w:lineRule="exact"/>
              <w:jc w:val="center"/>
              <w:textAlignment w:val="center"/>
              <w:rPr>
                <w:rFonts w:ascii="宋体" w:hAnsi="宋体" w:cs="宋体"/>
                <w:color w:val="000000"/>
                <w:sz w:val="18"/>
                <w:szCs w:val="18"/>
              </w:rPr>
            </w:pPr>
            <w:r>
              <w:rPr>
                <w:rFonts w:hint="eastAsia" w:ascii="宋体" w:hAnsi="宋体" w:cs="宋体"/>
                <w:color w:val="000000"/>
                <w:kern w:val="0"/>
                <w:sz w:val="18"/>
                <w:szCs w:val="18"/>
              </w:rPr>
              <w:t>行政许可</w:t>
            </w:r>
          </w:p>
        </w:tc>
        <w:tc>
          <w:tcPr>
            <w:tcW w:w="2869" w:type="dxa"/>
            <w:tcBorders>
              <w:top w:val="single" w:color="000000" w:sz="4" w:space="0"/>
              <w:left w:val="single" w:color="000000" w:sz="4" w:space="0"/>
              <w:bottom w:val="single" w:color="000000" w:sz="4" w:space="0"/>
              <w:right w:val="single" w:color="000000" w:sz="4" w:space="0"/>
            </w:tcBorders>
            <w:vAlign w:val="center"/>
          </w:tcPr>
          <w:p w14:paraId="4691FBC0">
            <w:pPr>
              <w:widowControl/>
              <w:spacing w:line="240" w:lineRule="exact"/>
              <w:jc w:val="left"/>
              <w:textAlignment w:val="center"/>
              <w:rPr>
                <w:rFonts w:hint="eastAsia" w:ascii="宋体" w:hAnsi="宋体" w:eastAsia="宋体" w:cs="宋体"/>
                <w:color w:val="000000"/>
                <w:spacing w:val="-6"/>
                <w:kern w:val="0"/>
                <w:sz w:val="18"/>
                <w:szCs w:val="18"/>
                <w:lang w:eastAsia="zh-CN"/>
              </w:rPr>
            </w:pPr>
            <w:r>
              <w:rPr>
                <w:rFonts w:hint="eastAsia" w:ascii="宋体" w:hAnsi="宋体" w:cs="宋体"/>
                <w:color w:val="000000"/>
                <w:spacing w:val="-6"/>
                <w:kern w:val="0"/>
                <w:sz w:val="18"/>
                <w:szCs w:val="18"/>
              </w:rPr>
              <w:t>【地方性法规】《辽宁省城市供热条例》（2014年5月30日辽宁省十二届人大常委会第10次会议通过）</w:t>
            </w:r>
          </w:p>
          <w:p w14:paraId="3DAA1860">
            <w:pPr>
              <w:widowControl/>
              <w:spacing w:line="240" w:lineRule="exact"/>
              <w:jc w:val="left"/>
              <w:textAlignment w:val="center"/>
              <w:rPr>
                <w:rFonts w:ascii="宋体" w:hAnsi="宋体" w:cs="宋体"/>
                <w:color w:val="000000"/>
                <w:sz w:val="18"/>
                <w:szCs w:val="18"/>
              </w:rPr>
            </w:pPr>
            <w:r>
              <w:rPr>
                <w:rFonts w:hint="eastAsia" w:ascii="宋体" w:hAnsi="宋体" w:cs="宋体"/>
                <w:color w:val="000000"/>
                <w:kern w:val="0"/>
                <w:sz w:val="18"/>
                <w:szCs w:val="18"/>
              </w:rPr>
              <w:t>第十四条 供热经营实行许可证制度。供热单位依法取得供热行政主管部门核发的供热许可证后，方可从事供热经营活动。供热单位应当按照供热许可证规定的范围供热，不得擅自转让供热许可证。供热许可证实行分级审核、分级核发，具体办法由省供热行政主管部门制定。</w:t>
            </w:r>
          </w:p>
        </w:tc>
        <w:tc>
          <w:tcPr>
            <w:tcW w:w="927" w:type="dxa"/>
            <w:tcBorders>
              <w:top w:val="single" w:color="000000" w:sz="4" w:space="0"/>
              <w:left w:val="single" w:color="000000" w:sz="4" w:space="0"/>
              <w:bottom w:val="single" w:color="000000" w:sz="4" w:space="0"/>
              <w:right w:val="single" w:color="000000" w:sz="4" w:space="0"/>
            </w:tcBorders>
            <w:vAlign w:val="center"/>
          </w:tcPr>
          <w:p w14:paraId="7B76EB5F">
            <w:pPr>
              <w:widowControl/>
              <w:spacing w:line="240" w:lineRule="exact"/>
              <w:jc w:val="center"/>
              <w:textAlignment w:val="center"/>
              <w:rPr>
                <w:rFonts w:ascii="宋体" w:hAnsi="宋体" w:cs="宋体"/>
                <w:color w:val="000000"/>
                <w:sz w:val="18"/>
                <w:szCs w:val="18"/>
              </w:rPr>
            </w:pPr>
            <w:r>
              <w:rPr>
                <w:rFonts w:hint="eastAsia" w:ascii="宋体" w:hAnsi="宋体" w:cs="宋体"/>
                <w:color w:val="000000"/>
                <w:kern w:val="0"/>
                <w:sz w:val="18"/>
                <w:szCs w:val="18"/>
              </w:rPr>
              <w:t>县住建局</w:t>
            </w:r>
          </w:p>
        </w:tc>
        <w:tc>
          <w:tcPr>
            <w:tcW w:w="924" w:type="dxa"/>
            <w:tcBorders>
              <w:top w:val="single" w:color="000000" w:sz="4" w:space="0"/>
              <w:left w:val="single" w:color="000000" w:sz="4" w:space="0"/>
              <w:bottom w:val="single" w:color="000000" w:sz="4" w:space="0"/>
              <w:right w:val="single" w:color="000000" w:sz="4" w:space="0"/>
            </w:tcBorders>
            <w:vAlign w:val="center"/>
          </w:tcPr>
          <w:p w14:paraId="43556ED0">
            <w:pPr>
              <w:widowControl/>
              <w:spacing w:line="240" w:lineRule="exact"/>
              <w:jc w:val="left"/>
              <w:textAlignment w:val="center"/>
              <w:rPr>
                <w:rFonts w:ascii="宋体" w:hAnsi="宋体" w:cs="宋体"/>
                <w:color w:val="000000"/>
                <w:sz w:val="18"/>
                <w:szCs w:val="18"/>
              </w:rPr>
            </w:pPr>
            <w:r>
              <w:rPr>
                <w:rFonts w:hint="eastAsia" w:ascii="宋体" w:hAnsi="宋体" w:cs="宋体"/>
                <w:color w:val="000000"/>
                <w:kern w:val="0"/>
                <w:sz w:val="18"/>
                <w:szCs w:val="18"/>
              </w:rPr>
              <w:t>承接</w:t>
            </w:r>
          </w:p>
        </w:tc>
        <w:tc>
          <w:tcPr>
            <w:tcW w:w="1020" w:type="dxa"/>
            <w:tcBorders>
              <w:top w:val="single" w:color="000000" w:sz="4" w:space="0"/>
              <w:left w:val="single" w:color="000000" w:sz="4" w:space="0"/>
              <w:bottom w:val="single" w:color="000000" w:sz="4" w:space="0"/>
              <w:right w:val="single" w:color="000000" w:sz="4" w:space="0"/>
            </w:tcBorders>
            <w:vAlign w:val="center"/>
          </w:tcPr>
          <w:p w14:paraId="09E7AD20">
            <w:pPr>
              <w:widowControl/>
              <w:spacing w:line="240" w:lineRule="exact"/>
              <w:jc w:val="left"/>
              <w:textAlignment w:val="center"/>
              <w:rPr>
                <w:rStyle w:val="19"/>
                <w:rFonts w:hint="eastAsia" w:eastAsia="宋体"/>
                <w:sz w:val="18"/>
                <w:szCs w:val="18"/>
                <w:lang w:eastAsia="zh-CN"/>
              </w:rPr>
            </w:pPr>
            <w:r>
              <w:rPr>
                <w:rStyle w:val="19"/>
                <w:rFonts w:hint="default"/>
                <w:sz w:val="18"/>
                <w:szCs w:val="18"/>
              </w:rPr>
              <w:t>1.积极做好供热经营许可申请材料审核工作。</w:t>
            </w:r>
          </w:p>
          <w:p w14:paraId="00C8425E">
            <w:pPr>
              <w:widowControl/>
              <w:spacing w:line="240" w:lineRule="exact"/>
              <w:jc w:val="left"/>
              <w:textAlignment w:val="center"/>
              <w:rPr>
                <w:rFonts w:ascii="宋体" w:hAnsi="宋体" w:cs="宋体"/>
                <w:color w:val="000000"/>
                <w:sz w:val="18"/>
                <w:szCs w:val="18"/>
              </w:rPr>
            </w:pPr>
            <w:r>
              <w:rPr>
                <w:rStyle w:val="19"/>
                <w:rFonts w:hint="default"/>
                <w:sz w:val="18"/>
                <w:szCs w:val="18"/>
              </w:rPr>
              <w:t>2.对供热企业运营情况进行抽查检查，保障供热设施正常运行。</w:t>
            </w:r>
          </w:p>
        </w:tc>
        <w:tc>
          <w:tcPr>
            <w:tcW w:w="597" w:type="dxa"/>
            <w:gridSpan w:val="2"/>
            <w:tcBorders>
              <w:top w:val="single" w:color="000000" w:sz="4" w:space="0"/>
              <w:left w:val="single" w:color="000000" w:sz="4" w:space="0"/>
              <w:bottom w:val="single" w:color="000000" w:sz="4" w:space="0"/>
              <w:right w:val="single" w:color="000000" w:sz="4" w:space="0"/>
            </w:tcBorders>
            <w:vAlign w:val="center"/>
          </w:tcPr>
          <w:p w14:paraId="05FDB25E">
            <w:pPr>
              <w:spacing w:line="240" w:lineRule="exact"/>
              <w:jc w:val="left"/>
              <w:rPr>
                <w:rFonts w:ascii="宋体" w:hAnsi="宋体" w:cs="宋体"/>
                <w:color w:val="000000"/>
                <w:sz w:val="18"/>
                <w:szCs w:val="18"/>
              </w:rPr>
            </w:pPr>
          </w:p>
        </w:tc>
      </w:tr>
      <w:tr w14:paraId="628A7733">
        <w:tblPrEx>
          <w:tblCellMar>
            <w:top w:w="0" w:type="dxa"/>
            <w:left w:w="108" w:type="dxa"/>
            <w:bottom w:w="0" w:type="dxa"/>
            <w:right w:w="108" w:type="dxa"/>
          </w:tblCellMar>
        </w:tblPrEx>
        <w:trPr>
          <w:trHeight w:val="2855" w:hRule="atLeast"/>
          <w:jc w:val="center"/>
        </w:trPr>
        <w:tc>
          <w:tcPr>
            <w:tcW w:w="758" w:type="dxa"/>
            <w:tcBorders>
              <w:top w:val="single" w:color="000000" w:sz="4" w:space="0"/>
              <w:left w:val="single" w:color="000000" w:sz="4" w:space="0"/>
              <w:bottom w:val="single" w:color="000000" w:sz="4" w:space="0"/>
              <w:right w:val="single" w:color="000000" w:sz="4" w:space="0"/>
            </w:tcBorders>
            <w:vAlign w:val="center"/>
          </w:tcPr>
          <w:p w14:paraId="1BCF9ADA">
            <w:pPr>
              <w:widowControl/>
              <w:spacing w:line="240" w:lineRule="exact"/>
              <w:jc w:val="center"/>
              <w:textAlignment w:val="center"/>
              <w:rPr>
                <w:rFonts w:ascii="宋体" w:hAnsi="宋体" w:cs="宋体"/>
                <w:color w:val="000000"/>
                <w:sz w:val="18"/>
                <w:szCs w:val="18"/>
              </w:rPr>
            </w:pPr>
            <w:r>
              <w:rPr>
                <w:rFonts w:hint="eastAsia" w:ascii="宋体" w:hAnsi="宋体" w:cs="宋体"/>
                <w:color w:val="000000"/>
                <w:kern w:val="0"/>
                <w:sz w:val="18"/>
                <w:szCs w:val="18"/>
              </w:rPr>
              <w:t>3</w:t>
            </w:r>
          </w:p>
        </w:tc>
        <w:tc>
          <w:tcPr>
            <w:tcW w:w="1147" w:type="dxa"/>
            <w:tcBorders>
              <w:top w:val="single" w:color="000000" w:sz="4" w:space="0"/>
              <w:left w:val="single" w:color="000000" w:sz="4" w:space="0"/>
              <w:bottom w:val="single" w:color="000000" w:sz="4" w:space="0"/>
              <w:right w:val="single" w:color="000000" w:sz="4" w:space="0"/>
            </w:tcBorders>
            <w:vAlign w:val="center"/>
          </w:tcPr>
          <w:p w14:paraId="78E02DC3">
            <w:pPr>
              <w:widowControl/>
              <w:spacing w:line="240" w:lineRule="exact"/>
              <w:jc w:val="left"/>
              <w:textAlignment w:val="center"/>
              <w:rPr>
                <w:rFonts w:ascii="宋体" w:hAnsi="宋体" w:cs="宋体"/>
                <w:color w:val="000000"/>
                <w:sz w:val="18"/>
                <w:szCs w:val="18"/>
              </w:rPr>
            </w:pPr>
            <w:r>
              <w:rPr>
                <w:rFonts w:hint="eastAsia" w:ascii="宋体" w:hAnsi="宋体" w:cs="宋体"/>
                <w:color w:val="000000"/>
                <w:kern w:val="0"/>
                <w:sz w:val="18"/>
                <w:szCs w:val="18"/>
              </w:rPr>
              <w:t>获得供热特许经营权的企业停业、歇业审批</w:t>
            </w:r>
          </w:p>
        </w:tc>
        <w:tc>
          <w:tcPr>
            <w:tcW w:w="998" w:type="dxa"/>
            <w:tcBorders>
              <w:top w:val="single" w:color="000000" w:sz="4" w:space="0"/>
              <w:left w:val="single" w:color="000000" w:sz="4" w:space="0"/>
              <w:bottom w:val="single" w:color="000000" w:sz="4" w:space="0"/>
              <w:right w:val="single" w:color="000000" w:sz="4" w:space="0"/>
            </w:tcBorders>
            <w:vAlign w:val="center"/>
          </w:tcPr>
          <w:p w14:paraId="3263BD88">
            <w:pPr>
              <w:spacing w:line="240" w:lineRule="exact"/>
              <w:jc w:val="left"/>
              <w:rPr>
                <w:rFonts w:ascii="宋体" w:hAnsi="宋体" w:cs="宋体"/>
                <w:color w:val="000000"/>
                <w:sz w:val="18"/>
                <w:szCs w:val="18"/>
              </w:rPr>
            </w:pPr>
          </w:p>
        </w:tc>
        <w:tc>
          <w:tcPr>
            <w:tcW w:w="966" w:type="dxa"/>
            <w:tcBorders>
              <w:top w:val="single" w:color="000000" w:sz="4" w:space="0"/>
              <w:left w:val="single" w:color="000000" w:sz="4" w:space="0"/>
              <w:bottom w:val="single" w:color="000000" w:sz="4" w:space="0"/>
              <w:right w:val="single" w:color="000000" w:sz="4" w:space="0"/>
            </w:tcBorders>
            <w:vAlign w:val="center"/>
          </w:tcPr>
          <w:p w14:paraId="22EF8D9A">
            <w:pPr>
              <w:widowControl/>
              <w:spacing w:line="240" w:lineRule="exact"/>
              <w:jc w:val="center"/>
              <w:textAlignment w:val="center"/>
              <w:rPr>
                <w:rFonts w:ascii="宋体" w:hAnsi="宋体" w:cs="宋体"/>
                <w:color w:val="000000"/>
                <w:sz w:val="18"/>
                <w:szCs w:val="18"/>
              </w:rPr>
            </w:pPr>
            <w:r>
              <w:rPr>
                <w:rFonts w:hint="eastAsia" w:ascii="宋体" w:hAnsi="宋体" w:cs="宋体"/>
                <w:color w:val="000000"/>
                <w:kern w:val="0"/>
                <w:sz w:val="18"/>
                <w:szCs w:val="18"/>
              </w:rPr>
              <w:t>行政许可</w:t>
            </w:r>
          </w:p>
        </w:tc>
        <w:tc>
          <w:tcPr>
            <w:tcW w:w="2869" w:type="dxa"/>
            <w:tcBorders>
              <w:top w:val="single" w:color="000000" w:sz="4" w:space="0"/>
              <w:left w:val="single" w:color="000000" w:sz="4" w:space="0"/>
              <w:bottom w:val="single" w:color="000000" w:sz="4" w:space="0"/>
              <w:right w:val="single" w:color="000000" w:sz="4" w:space="0"/>
            </w:tcBorders>
            <w:vAlign w:val="center"/>
          </w:tcPr>
          <w:p w14:paraId="4DD952D7">
            <w:pPr>
              <w:widowControl/>
              <w:spacing w:line="240" w:lineRule="exact"/>
              <w:jc w:val="left"/>
              <w:textAlignment w:val="center"/>
              <w:rPr>
                <w:rFonts w:hint="eastAsia" w:ascii="宋体" w:hAnsi="宋体" w:eastAsia="宋体" w:cs="宋体"/>
                <w:color w:val="000000"/>
                <w:spacing w:val="-6"/>
                <w:kern w:val="0"/>
                <w:sz w:val="18"/>
                <w:szCs w:val="18"/>
                <w:lang w:eastAsia="zh-CN"/>
              </w:rPr>
            </w:pPr>
            <w:r>
              <w:rPr>
                <w:rFonts w:hint="eastAsia" w:ascii="宋体" w:hAnsi="宋体" w:cs="宋体"/>
                <w:color w:val="000000"/>
                <w:spacing w:val="-6"/>
                <w:kern w:val="0"/>
                <w:sz w:val="18"/>
                <w:szCs w:val="18"/>
              </w:rPr>
              <w:t>【地方性法规】《辽宁省城市供热条例》（经2014年5月30日辽宁省十二届人大常委会第10次会议通过）</w:t>
            </w:r>
          </w:p>
          <w:p w14:paraId="756F686B">
            <w:pPr>
              <w:widowControl/>
              <w:spacing w:line="240" w:lineRule="exact"/>
              <w:jc w:val="left"/>
              <w:textAlignment w:val="center"/>
              <w:rPr>
                <w:rFonts w:ascii="宋体" w:hAnsi="宋体" w:cs="宋体"/>
                <w:color w:val="000000"/>
                <w:sz w:val="18"/>
                <w:szCs w:val="18"/>
              </w:rPr>
            </w:pPr>
            <w:r>
              <w:rPr>
                <w:rFonts w:hint="eastAsia" w:ascii="宋体" w:hAnsi="宋体" w:cs="宋体"/>
                <w:color w:val="000000"/>
                <w:kern w:val="0"/>
                <w:sz w:val="18"/>
                <w:szCs w:val="18"/>
              </w:rPr>
              <w:t>第十六条第一款 供热单位不得擅自停业、歇业。确需停业或者歇业的，供热单位应当在供热期开始六个月前向所在地供热行政主管部门提出申请。供热行政主管部门应当自收到申请之日起二十日内作出是否批准的决定。准予停业或者歇业的，应当</w:t>
            </w:r>
            <w:r>
              <w:rPr>
                <w:rFonts w:hint="eastAsia" w:ascii="宋体" w:hAnsi="宋体" w:cs="宋体"/>
                <w:color w:val="000000"/>
                <w:spacing w:val="-6"/>
                <w:kern w:val="0"/>
                <w:sz w:val="18"/>
                <w:szCs w:val="18"/>
              </w:rPr>
              <w:t>收回供热许可证，并对供热范围内的用户用热作出妥善安排；不准予停业或者歇业的，应当书面说明理由。</w:t>
            </w:r>
          </w:p>
        </w:tc>
        <w:tc>
          <w:tcPr>
            <w:tcW w:w="927" w:type="dxa"/>
            <w:tcBorders>
              <w:top w:val="single" w:color="000000" w:sz="4" w:space="0"/>
              <w:left w:val="single" w:color="000000" w:sz="4" w:space="0"/>
              <w:bottom w:val="single" w:color="000000" w:sz="4" w:space="0"/>
              <w:right w:val="single" w:color="000000" w:sz="4" w:space="0"/>
            </w:tcBorders>
            <w:vAlign w:val="center"/>
          </w:tcPr>
          <w:p w14:paraId="3F79044F">
            <w:pPr>
              <w:widowControl/>
              <w:spacing w:line="240" w:lineRule="exact"/>
              <w:jc w:val="center"/>
              <w:textAlignment w:val="center"/>
              <w:rPr>
                <w:rFonts w:ascii="宋体" w:hAnsi="宋体" w:cs="宋体"/>
                <w:color w:val="000000"/>
                <w:sz w:val="18"/>
                <w:szCs w:val="18"/>
              </w:rPr>
            </w:pPr>
            <w:r>
              <w:rPr>
                <w:rFonts w:hint="eastAsia" w:ascii="宋体" w:hAnsi="宋体" w:cs="宋体"/>
                <w:color w:val="000000"/>
                <w:kern w:val="0"/>
                <w:sz w:val="18"/>
                <w:szCs w:val="18"/>
              </w:rPr>
              <w:t>县住建局</w:t>
            </w:r>
          </w:p>
        </w:tc>
        <w:tc>
          <w:tcPr>
            <w:tcW w:w="924" w:type="dxa"/>
            <w:tcBorders>
              <w:top w:val="single" w:color="000000" w:sz="4" w:space="0"/>
              <w:left w:val="single" w:color="000000" w:sz="4" w:space="0"/>
              <w:bottom w:val="single" w:color="000000" w:sz="4" w:space="0"/>
              <w:right w:val="single" w:color="000000" w:sz="4" w:space="0"/>
            </w:tcBorders>
            <w:vAlign w:val="center"/>
          </w:tcPr>
          <w:p w14:paraId="0FBE6B83">
            <w:pPr>
              <w:widowControl/>
              <w:spacing w:line="240" w:lineRule="exact"/>
              <w:jc w:val="left"/>
              <w:textAlignment w:val="center"/>
              <w:rPr>
                <w:rFonts w:ascii="宋体" w:hAnsi="宋体" w:cs="宋体"/>
                <w:color w:val="000000"/>
                <w:sz w:val="18"/>
                <w:szCs w:val="18"/>
              </w:rPr>
            </w:pPr>
            <w:r>
              <w:rPr>
                <w:rFonts w:hint="eastAsia" w:ascii="宋体" w:hAnsi="宋体" w:cs="宋体"/>
                <w:color w:val="000000"/>
                <w:kern w:val="0"/>
                <w:sz w:val="18"/>
                <w:szCs w:val="18"/>
              </w:rPr>
              <w:t>承接</w:t>
            </w:r>
          </w:p>
        </w:tc>
        <w:tc>
          <w:tcPr>
            <w:tcW w:w="1020" w:type="dxa"/>
            <w:tcBorders>
              <w:top w:val="single" w:color="000000" w:sz="4" w:space="0"/>
              <w:left w:val="single" w:color="000000" w:sz="4" w:space="0"/>
              <w:bottom w:val="single" w:color="000000" w:sz="4" w:space="0"/>
              <w:right w:val="single" w:color="000000" w:sz="4" w:space="0"/>
            </w:tcBorders>
            <w:vAlign w:val="center"/>
          </w:tcPr>
          <w:p w14:paraId="29507F7E">
            <w:pPr>
              <w:widowControl/>
              <w:spacing w:line="240" w:lineRule="exact"/>
              <w:jc w:val="left"/>
              <w:textAlignment w:val="center"/>
              <w:rPr>
                <w:rFonts w:hint="eastAsia" w:ascii="宋体" w:hAnsi="宋体" w:eastAsia="宋体" w:cs="宋体"/>
                <w:color w:val="000000"/>
                <w:spacing w:val="-6"/>
                <w:kern w:val="0"/>
                <w:sz w:val="18"/>
                <w:szCs w:val="18"/>
                <w:lang w:eastAsia="zh-CN"/>
              </w:rPr>
            </w:pPr>
            <w:r>
              <w:rPr>
                <w:rFonts w:hint="eastAsia" w:ascii="宋体" w:hAnsi="宋体" w:cs="宋体"/>
                <w:color w:val="000000"/>
                <w:spacing w:val="-6"/>
                <w:kern w:val="0"/>
                <w:sz w:val="18"/>
                <w:szCs w:val="18"/>
              </w:rPr>
              <w:t>1.对同意停业、歇业的供热企业供热区域进行重新划分，保障冬季正常供暖。</w:t>
            </w:r>
          </w:p>
          <w:p w14:paraId="3A203C50">
            <w:pPr>
              <w:widowControl/>
              <w:spacing w:line="240" w:lineRule="exact"/>
              <w:jc w:val="left"/>
              <w:textAlignment w:val="center"/>
              <w:rPr>
                <w:rFonts w:ascii="宋体" w:hAnsi="宋体" w:cs="宋体"/>
                <w:color w:val="000000"/>
                <w:sz w:val="18"/>
                <w:szCs w:val="18"/>
              </w:rPr>
            </w:pPr>
            <w:r>
              <w:rPr>
                <w:rFonts w:hint="eastAsia" w:ascii="宋体" w:hAnsi="宋体" w:cs="宋体"/>
                <w:color w:val="000000"/>
                <w:spacing w:val="-6"/>
                <w:kern w:val="0"/>
                <w:sz w:val="18"/>
                <w:szCs w:val="18"/>
              </w:rPr>
              <w:t>2.对供热企业运营情况进行抽查检查，保障供热设施正常运行。</w:t>
            </w:r>
          </w:p>
        </w:tc>
        <w:tc>
          <w:tcPr>
            <w:tcW w:w="597" w:type="dxa"/>
            <w:gridSpan w:val="2"/>
            <w:tcBorders>
              <w:top w:val="single" w:color="000000" w:sz="4" w:space="0"/>
              <w:left w:val="single" w:color="000000" w:sz="4" w:space="0"/>
              <w:bottom w:val="single" w:color="000000" w:sz="4" w:space="0"/>
              <w:right w:val="single" w:color="000000" w:sz="4" w:space="0"/>
            </w:tcBorders>
            <w:vAlign w:val="center"/>
          </w:tcPr>
          <w:p w14:paraId="4085D45A">
            <w:pPr>
              <w:spacing w:line="240" w:lineRule="exact"/>
              <w:jc w:val="left"/>
              <w:rPr>
                <w:rFonts w:ascii="宋体" w:hAnsi="宋体" w:cs="宋体"/>
                <w:color w:val="000000"/>
                <w:sz w:val="18"/>
                <w:szCs w:val="18"/>
              </w:rPr>
            </w:pPr>
          </w:p>
        </w:tc>
      </w:tr>
      <w:tr w14:paraId="35B4D69C">
        <w:tblPrEx>
          <w:tblCellMar>
            <w:top w:w="0" w:type="dxa"/>
            <w:left w:w="108" w:type="dxa"/>
            <w:bottom w:w="0" w:type="dxa"/>
            <w:right w:w="108" w:type="dxa"/>
          </w:tblCellMar>
        </w:tblPrEx>
        <w:trPr>
          <w:trHeight w:val="3250" w:hRule="atLeast"/>
          <w:jc w:val="center"/>
        </w:trPr>
        <w:tc>
          <w:tcPr>
            <w:tcW w:w="758" w:type="dxa"/>
            <w:tcBorders>
              <w:top w:val="single" w:color="000000" w:sz="4" w:space="0"/>
              <w:left w:val="single" w:color="000000" w:sz="4" w:space="0"/>
              <w:bottom w:val="single" w:color="000000" w:sz="4" w:space="0"/>
              <w:right w:val="single" w:color="000000" w:sz="4" w:space="0"/>
            </w:tcBorders>
            <w:vAlign w:val="center"/>
          </w:tcPr>
          <w:p w14:paraId="50FED833">
            <w:pPr>
              <w:widowControl/>
              <w:spacing w:line="240" w:lineRule="exact"/>
              <w:jc w:val="center"/>
              <w:textAlignment w:val="center"/>
              <w:rPr>
                <w:rFonts w:ascii="宋体" w:hAnsi="宋体" w:cs="宋体"/>
                <w:color w:val="000000"/>
                <w:sz w:val="18"/>
                <w:szCs w:val="18"/>
              </w:rPr>
            </w:pPr>
            <w:r>
              <w:rPr>
                <w:rFonts w:hint="eastAsia" w:ascii="宋体" w:hAnsi="宋体" w:cs="宋体"/>
                <w:color w:val="000000"/>
                <w:kern w:val="0"/>
                <w:sz w:val="18"/>
                <w:szCs w:val="18"/>
              </w:rPr>
              <w:t>4</w:t>
            </w:r>
          </w:p>
        </w:tc>
        <w:tc>
          <w:tcPr>
            <w:tcW w:w="1147" w:type="dxa"/>
            <w:tcBorders>
              <w:top w:val="single" w:color="000000" w:sz="4" w:space="0"/>
              <w:left w:val="single" w:color="000000" w:sz="4" w:space="0"/>
              <w:bottom w:val="single" w:color="000000" w:sz="4" w:space="0"/>
              <w:right w:val="single" w:color="000000" w:sz="4" w:space="0"/>
            </w:tcBorders>
            <w:vAlign w:val="center"/>
          </w:tcPr>
          <w:p w14:paraId="24160A8E">
            <w:pPr>
              <w:widowControl/>
              <w:spacing w:line="240" w:lineRule="exact"/>
              <w:jc w:val="left"/>
              <w:textAlignment w:val="center"/>
              <w:rPr>
                <w:rFonts w:ascii="宋体" w:hAnsi="宋体" w:cs="宋体"/>
                <w:color w:val="000000"/>
                <w:sz w:val="18"/>
                <w:szCs w:val="18"/>
              </w:rPr>
            </w:pPr>
            <w:r>
              <w:rPr>
                <w:rFonts w:hint="eastAsia" w:ascii="宋体" w:hAnsi="宋体" w:cs="宋体"/>
                <w:color w:val="000000"/>
                <w:kern w:val="0"/>
                <w:sz w:val="18"/>
                <w:szCs w:val="18"/>
              </w:rPr>
              <w:t>供热单位转让供热设施经营权审批</w:t>
            </w:r>
          </w:p>
        </w:tc>
        <w:tc>
          <w:tcPr>
            <w:tcW w:w="998" w:type="dxa"/>
            <w:tcBorders>
              <w:top w:val="single" w:color="000000" w:sz="4" w:space="0"/>
              <w:left w:val="single" w:color="000000" w:sz="4" w:space="0"/>
              <w:bottom w:val="single" w:color="000000" w:sz="4" w:space="0"/>
              <w:right w:val="single" w:color="000000" w:sz="4" w:space="0"/>
            </w:tcBorders>
            <w:vAlign w:val="center"/>
          </w:tcPr>
          <w:p w14:paraId="78EB1AEE">
            <w:pPr>
              <w:spacing w:line="240" w:lineRule="exact"/>
              <w:jc w:val="left"/>
              <w:rPr>
                <w:rFonts w:ascii="宋体" w:hAnsi="宋体" w:cs="宋体"/>
                <w:color w:val="000000"/>
                <w:sz w:val="18"/>
                <w:szCs w:val="18"/>
              </w:rPr>
            </w:pPr>
          </w:p>
        </w:tc>
        <w:tc>
          <w:tcPr>
            <w:tcW w:w="966" w:type="dxa"/>
            <w:tcBorders>
              <w:top w:val="single" w:color="000000" w:sz="4" w:space="0"/>
              <w:left w:val="single" w:color="000000" w:sz="4" w:space="0"/>
              <w:bottom w:val="single" w:color="000000" w:sz="4" w:space="0"/>
              <w:right w:val="single" w:color="000000" w:sz="4" w:space="0"/>
            </w:tcBorders>
            <w:vAlign w:val="center"/>
          </w:tcPr>
          <w:p w14:paraId="1FB0E8CC">
            <w:pPr>
              <w:widowControl/>
              <w:spacing w:line="240" w:lineRule="exact"/>
              <w:jc w:val="center"/>
              <w:textAlignment w:val="center"/>
              <w:rPr>
                <w:rFonts w:ascii="宋体" w:hAnsi="宋体" w:cs="宋体"/>
                <w:color w:val="000000"/>
                <w:sz w:val="18"/>
                <w:szCs w:val="18"/>
              </w:rPr>
            </w:pPr>
            <w:r>
              <w:rPr>
                <w:rFonts w:hint="eastAsia" w:ascii="宋体" w:hAnsi="宋体" w:cs="宋体"/>
                <w:color w:val="000000"/>
                <w:kern w:val="0"/>
                <w:sz w:val="18"/>
                <w:szCs w:val="18"/>
              </w:rPr>
              <w:t>行政许可</w:t>
            </w:r>
          </w:p>
        </w:tc>
        <w:tc>
          <w:tcPr>
            <w:tcW w:w="2869" w:type="dxa"/>
            <w:tcBorders>
              <w:top w:val="single" w:color="000000" w:sz="4" w:space="0"/>
              <w:left w:val="single" w:color="000000" w:sz="4" w:space="0"/>
              <w:bottom w:val="single" w:color="000000" w:sz="4" w:space="0"/>
              <w:right w:val="single" w:color="000000" w:sz="4" w:space="0"/>
            </w:tcBorders>
            <w:vAlign w:val="center"/>
          </w:tcPr>
          <w:p w14:paraId="3B1A829E">
            <w:pPr>
              <w:widowControl/>
              <w:spacing w:line="240" w:lineRule="exact"/>
              <w:jc w:val="left"/>
              <w:textAlignment w:val="center"/>
              <w:rPr>
                <w:rFonts w:hint="eastAsia" w:ascii="宋体" w:hAnsi="宋体" w:eastAsia="宋体" w:cs="宋体"/>
                <w:color w:val="000000"/>
                <w:spacing w:val="-6"/>
                <w:kern w:val="0"/>
                <w:sz w:val="18"/>
                <w:szCs w:val="18"/>
                <w:lang w:eastAsia="zh-CN"/>
              </w:rPr>
            </w:pPr>
            <w:r>
              <w:rPr>
                <w:rFonts w:hint="eastAsia" w:ascii="宋体" w:hAnsi="宋体" w:cs="宋体"/>
                <w:color w:val="000000"/>
                <w:spacing w:val="-6"/>
                <w:kern w:val="0"/>
                <w:sz w:val="18"/>
                <w:szCs w:val="18"/>
              </w:rPr>
              <w:t>【地方性法规】《辽宁省城市供热条例》（经2014年5月30日辽宁省十二届人大常委会第10次会议通过）</w:t>
            </w:r>
          </w:p>
          <w:p w14:paraId="40CBC75A">
            <w:pPr>
              <w:widowControl/>
              <w:spacing w:line="240" w:lineRule="exact"/>
              <w:jc w:val="left"/>
              <w:textAlignment w:val="center"/>
              <w:rPr>
                <w:rFonts w:ascii="宋体" w:hAnsi="宋体" w:cs="宋体"/>
                <w:color w:val="000000"/>
                <w:sz w:val="18"/>
                <w:szCs w:val="18"/>
              </w:rPr>
            </w:pPr>
            <w:r>
              <w:rPr>
                <w:rFonts w:hint="eastAsia" w:ascii="宋体" w:hAnsi="宋体" w:cs="宋体"/>
                <w:color w:val="000000"/>
                <w:kern w:val="0"/>
                <w:sz w:val="18"/>
                <w:szCs w:val="18"/>
              </w:rPr>
              <w:t>第十六条第二款 供热单位转让供热设施经营权的，应当向供热行政主管部门提出申请，经批准后，方可办理转让手续；转让方与受让方应当签订转让协议，并向供热行政主管部门备案。</w:t>
            </w:r>
          </w:p>
        </w:tc>
        <w:tc>
          <w:tcPr>
            <w:tcW w:w="927" w:type="dxa"/>
            <w:tcBorders>
              <w:top w:val="single" w:color="000000" w:sz="4" w:space="0"/>
              <w:left w:val="single" w:color="000000" w:sz="4" w:space="0"/>
              <w:bottom w:val="single" w:color="000000" w:sz="4" w:space="0"/>
              <w:right w:val="single" w:color="000000" w:sz="4" w:space="0"/>
            </w:tcBorders>
            <w:vAlign w:val="center"/>
          </w:tcPr>
          <w:p w14:paraId="2013AE16">
            <w:pPr>
              <w:widowControl/>
              <w:spacing w:line="240" w:lineRule="exact"/>
              <w:jc w:val="center"/>
              <w:textAlignment w:val="center"/>
              <w:rPr>
                <w:rFonts w:ascii="宋体" w:hAnsi="宋体" w:cs="宋体"/>
                <w:color w:val="000000"/>
                <w:sz w:val="18"/>
                <w:szCs w:val="18"/>
              </w:rPr>
            </w:pPr>
            <w:r>
              <w:rPr>
                <w:rFonts w:hint="eastAsia" w:ascii="宋体" w:hAnsi="宋体" w:cs="宋体"/>
                <w:color w:val="000000"/>
                <w:kern w:val="0"/>
                <w:sz w:val="18"/>
                <w:szCs w:val="18"/>
              </w:rPr>
              <w:t>县住建局</w:t>
            </w:r>
          </w:p>
        </w:tc>
        <w:tc>
          <w:tcPr>
            <w:tcW w:w="924" w:type="dxa"/>
            <w:tcBorders>
              <w:top w:val="single" w:color="000000" w:sz="4" w:space="0"/>
              <w:left w:val="single" w:color="000000" w:sz="4" w:space="0"/>
              <w:bottom w:val="single" w:color="000000" w:sz="4" w:space="0"/>
              <w:right w:val="single" w:color="000000" w:sz="4" w:space="0"/>
            </w:tcBorders>
            <w:vAlign w:val="center"/>
          </w:tcPr>
          <w:p w14:paraId="22948696">
            <w:pPr>
              <w:widowControl/>
              <w:spacing w:line="240" w:lineRule="exact"/>
              <w:jc w:val="left"/>
              <w:textAlignment w:val="center"/>
              <w:rPr>
                <w:rFonts w:ascii="宋体" w:hAnsi="宋体" w:cs="宋体"/>
                <w:color w:val="000000"/>
                <w:sz w:val="18"/>
                <w:szCs w:val="18"/>
              </w:rPr>
            </w:pPr>
            <w:r>
              <w:rPr>
                <w:rFonts w:hint="eastAsia" w:ascii="宋体" w:hAnsi="宋体" w:cs="宋体"/>
                <w:color w:val="000000"/>
                <w:kern w:val="0"/>
                <w:sz w:val="18"/>
                <w:szCs w:val="18"/>
              </w:rPr>
              <w:t>承接</w:t>
            </w:r>
          </w:p>
        </w:tc>
        <w:tc>
          <w:tcPr>
            <w:tcW w:w="1020" w:type="dxa"/>
            <w:tcBorders>
              <w:top w:val="single" w:color="000000" w:sz="4" w:space="0"/>
              <w:left w:val="single" w:color="000000" w:sz="4" w:space="0"/>
              <w:bottom w:val="single" w:color="000000" w:sz="4" w:space="0"/>
              <w:right w:val="single" w:color="000000" w:sz="4" w:space="0"/>
            </w:tcBorders>
            <w:vAlign w:val="center"/>
          </w:tcPr>
          <w:p w14:paraId="2E993166">
            <w:pPr>
              <w:widowControl/>
              <w:spacing w:line="240" w:lineRule="exact"/>
              <w:jc w:val="left"/>
              <w:textAlignment w:val="center"/>
              <w:rPr>
                <w:rFonts w:hint="eastAsia" w:ascii="宋体" w:hAnsi="宋体" w:eastAsia="宋体" w:cs="宋体"/>
                <w:color w:val="000000"/>
                <w:kern w:val="0"/>
                <w:sz w:val="18"/>
                <w:szCs w:val="18"/>
                <w:lang w:eastAsia="zh-CN"/>
              </w:rPr>
            </w:pPr>
            <w:r>
              <w:rPr>
                <w:rFonts w:hint="eastAsia" w:ascii="宋体" w:hAnsi="宋体" w:cs="宋体"/>
                <w:color w:val="000000"/>
                <w:kern w:val="0"/>
                <w:sz w:val="18"/>
                <w:szCs w:val="18"/>
              </w:rPr>
              <w:t>1.对同意转让供热设施经营权的供热企业供热区域督促其做好各项对接工作，保障冬季正常供暖。</w:t>
            </w:r>
          </w:p>
          <w:p w14:paraId="5DEEB84F">
            <w:pPr>
              <w:widowControl/>
              <w:spacing w:line="240" w:lineRule="exact"/>
              <w:jc w:val="left"/>
              <w:textAlignment w:val="center"/>
              <w:rPr>
                <w:rFonts w:ascii="宋体" w:hAnsi="宋体" w:cs="宋体"/>
                <w:color w:val="000000"/>
                <w:sz w:val="18"/>
                <w:szCs w:val="18"/>
              </w:rPr>
            </w:pPr>
            <w:r>
              <w:rPr>
                <w:rFonts w:hint="eastAsia" w:ascii="宋体" w:hAnsi="宋体" w:cs="宋体"/>
                <w:color w:val="000000"/>
                <w:kern w:val="0"/>
                <w:sz w:val="18"/>
                <w:szCs w:val="18"/>
              </w:rPr>
              <w:t>2.对供热企业运营情况进行抽查检查，保障供热设施正常运行。</w:t>
            </w:r>
          </w:p>
        </w:tc>
        <w:tc>
          <w:tcPr>
            <w:tcW w:w="597" w:type="dxa"/>
            <w:gridSpan w:val="2"/>
            <w:tcBorders>
              <w:top w:val="single" w:color="000000" w:sz="4" w:space="0"/>
              <w:left w:val="single" w:color="000000" w:sz="4" w:space="0"/>
              <w:bottom w:val="single" w:color="000000" w:sz="4" w:space="0"/>
              <w:right w:val="single" w:color="000000" w:sz="4" w:space="0"/>
            </w:tcBorders>
            <w:vAlign w:val="center"/>
          </w:tcPr>
          <w:p w14:paraId="43E58ACE">
            <w:pPr>
              <w:spacing w:line="240" w:lineRule="exact"/>
              <w:jc w:val="left"/>
              <w:rPr>
                <w:rFonts w:ascii="宋体" w:hAnsi="宋体" w:cs="宋体"/>
                <w:color w:val="000000"/>
                <w:sz w:val="18"/>
                <w:szCs w:val="18"/>
              </w:rPr>
            </w:pPr>
          </w:p>
        </w:tc>
      </w:tr>
      <w:tr w14:paraId="63FA6B3E">
        <w:tblPrEx>
          <w:tblCellMar>
            <w:top w:w="0" w:type="dxa"/>
            <w:left w:w="108" w:type="dxa"/>
            <w:bottom w:w="0" w:type="dxa"/>
            <w:right w:w="108" w:type="dxa"/>
          </w:tblCellMar>
        </w:tblPrEx>
        <w:trPr>
          <w:trHeight w:val="2390" w:hRule="atLeast"/>
          <w:jc w:val="center"/>
        </w:trPr>
        <w:tc>
          <w:tcPr>
            <w:tcW w:w="758" w:type="dxa"/>
            <w:tcBorders>
              <w:top w:val="single" w:color="000000" w:sz="4" w:space="0"/>
              <w:left w:val="single" w:color="000000" w:sz="4" w:space="0"/>
              <w:bottom w:val="single" w:color="000000" w:sz="4" w:space="0"/>
              <w:right w:val="single" w:color="000000" w:sz="4" w:space="0"/>
            </w:tcBorders>
            <w:vAlign w:val="center"/>
          </w:tcPr>
          <w:p w14:paraId="43903427">
            <w:pPr>
              <w:widowControl/>
              <w:spacing w:line="240" w:lineRule="exact"/>
              <w:jc w:val="center"/>
              <w:textAlignment w:val="center"/>
              <w:rPr>
                <w:rFonts w:ascii="宋体" w:hAnsi="宋体" w:cs="宋体"/>
                <w:color w:val="000000"/>
                <w:sz w:val="18"/>
                <w:szCs w:val="18"/>
              </w:rPr>
            </w:pPr>
            <w:r>
              <w:rPr>
                <w:rFonts w:hint="eastAsia" w:ascii="宋体" w:hAnsi="宋体" w:cs="宋体"/>
                <w:color w:val="000000"/>
                <w:kern w:val="0"/>
                <w:sz w:val="18"/>
                <w:szCs w:val="18"/>
              </w:rPr>
              <w:t>5</w:t>
            </w:r>
          </w:p>
        </w:tc>
        <w:tc>
          <w:tcPr>
            <w:tcW w:w="1147" w:type="dxa"/>
            <w:tcBorders>
              <w:top w:val="single" w:color="000000" w:sz="4" w:space="0"/>
              <w:left w:val="single" w:color="000000" w:sz="4" w:space="0"/>
              <w:bottom w:val="single" w:color="000000" w:sz="4" w:space="0"/>
              <w:right w:val="single" w:color="000000" w:sz="4" w:space="0"/>
            </w:tcBorders>
            <w:vAlign w:val="center"/>
          </w:tcPr>
          <w:p w14:paraId="5DADFBE3">
            <w:pPr>
              <w:widowControl/>
              <w:spacing w:line="240" w:lineRule="exact"/>
              <w:jc w:val="left"/>
              <w:textAlignment w:val="center"/>
              <w:rPr>
                <w:rFonts w:ascii="宋体" w:hAnsi="宋体" w:cs="宋体"/>
                <w:color w:val="000000"/>
                <w:sz w:val="18"/>
                <w:szCs w:val="18"/>
              </w:rPr>
            </w:pPr>
            <w:r>
              <w:rPr>
                <w:rFonts w:hint="eastAsia" w:ascii="宋体" w:hAnsi="宋体" w:cs="宋体"/>
                <w:color w:val="000000"/>
                <w:kern w:val="0"/>
                <w:sz w:val="18"/>
                <w:szCs w:val="18"/>
              </w:rPr>
              <w:t>对物业服务用房建筑面积、位置进行核查</w:t>
            </w:r>
          </w:p>
        </w:tc>
        <w:tc>
          <w:tcPr>
            <w:tcW w:w="998" w:type="dxa"/>
            <w:tcBorders>
              <w:top w:val="single" w:color="000000" w:sz="4" w:space="0"/>
              <w:left w:val="single" w:color="000000" w:sz="4" w:space="0"/>
              <w:bottom w:val="single" w:color="000000" w:sz="4" w:space="0"/>
              <w:right w:val="single" w:color="000000" w:sz="4" w:space="0"/>
            </w:tcBorders>
            <w:vAlign w:val="center"/>
          </w:tcPr>
          <w:p w14:paraId="06A2BB34">
            <w:pPr>
              <w:spacing w:line="240" w:lineRule="exact"/>
              <w:jc w:val="left"/>
              <w:rPr>
                <w:rFonts w:ascii="宋体" w:hAnsi="宋体" w:cs="宋体"/>
                <w:color w:val="000000"/>
                <w:sz w:val="18"/>
                <w:szCs w:val="18"/>
              </w:rPr>
            </w:pPr>
          </w:p>
        </w:tc>
        <w:tc>
          <w:tcPr>
            <w:tcW w:w="966" w:type="dxa"/>
            <w:tcBorders>
              <w:top w:val="single" w:color="000000" w:sz="4" w:space="0"/>
              <w:left w:val="single" w:color="000000" w:sz="4" w:space="0"/>
              <w:bottom w:val="single" w:color="000000" w:sz="4" w:space="0"/>
              <w:right w:val="single" w:color="000000" w:sz="4" w:space="0"/>
            </w:tcBorders>
            <w:vAlign w:val="center"/>
          </w:tcPr>
          <w:p w14:paraId="211253FC">
            <w:pPr>
              <w:widowControl/>
              <w:spacing w:line="240" w:lineRule="exact"/>
              <w:jc w:val="center"/>
              <w:textAlignment w:val="center"/>
              <w:rPr>
                <w:rFonts w:ascii="宋体" w:hAnsi="宋体" w:cs="宋体"/>
                <w:color w:val="000000"/>
                <w:sz w:val="18"/>
                <w:szCs w:val="18"/>
              </w:rPr>
            </w:pPr>
            <w:r>
              <w:rPr>
                <w:rFonts w:hint="eastAsia" w:ascii="宋体" w:hAnsi="宋体" w:cs="宋体"/>
                <w:color w:val="000000"/>
                <w:kern w:val="0"/>
                <w:sz w:val="18"/>
                <w:szCs w:val="18"/>
              </w:rPr>
              <w:t>其他行政权力</w:t>
            </w:r>
          </w:p>
        </w:tc>
        <w:tc>
          <w:tcPr>
            <w:tcW w:w="2869" w:type="dxa"/>
            <w:tcBorders>
              <w:top w:val="single" w:color="000000" w:sz="4" w:space="0"/>
              <w:left w:val="single" w:color="000000" w:sz="4" w:space="0"/>
              <w:bottom w:val="single" w:color="000000" w:sz="4" w:space="0"/>
              <w:right w:val="single" w:color="000000" w:sz="4" w:space="0"/>
            </w:tcBorders>
            <w:vAlign w:val="center"/>
          </w:tcPr>
          <w:p w14:paraId="1B0A46D5">
            <w:pPr>
              <w:widowControl/>
              <w:spacing w:line="240" w:lineRule="exact"/>
              <w:jc w:val="left"/>
              <w:textAlignment w:val="center"/>
              <w:rPr>
                <w:rFonts w:hint="eastAsia" w:ascii="宋体" w:hAnsi="宋体" w:eastAsia="宋体" w:cs="宋体"/>
                <w:color w:val="000000"/>
                <w:spacing w:val="-6"/>
                <w:kern w:val="0"/>
                <w:sz w:val="18"/>
                <w:szCs w:val="18"/>
                <w:lang w:eastAsia="zh-CN"/>
              </w:rPr>
            </w:pPr>
            <w:r>
              <w:rPr>
                <w:rFonts w:hint="eastAsia" w:ascii="宋体" w:hAnsi="宋体" w:cs="宋体"/>
                <w:color w:val="000000"/>
                <w:spacing w:val="-6"/>
                <w:kern w:val="0"/>
                <w:sz w:val="18"/>
                <w:szCs w:val="18"/>
              </w:rPr>
              <w:t>【地方性法规】《辽宁省物业管理条例》（辽宁省第十二届人民代表大会常务委员会第三十八次会议于2017年11月30日审议通过，2018年2月1日起施行）</w:t>
            </w:r>
          </w:p>
          <w:p w14:paraId="258549C0">
            <w:pPr>
              <w:widowControl/>
              <w:spacing w:line="240" w:lineRule="exact"/>
              <w:jc w:val="left"/>
              <w:textAlignment w:val="center"/>
              <w:rPr>
                <w:rFonts w:ascii="宋体" w:hAnsi="宋体" w:cs="宋体"/>
                <w:color w:val="000000"/>
                <w:sz w:val="18"/>
                <w:szCs w:val="18"/>
              </w:rPr>
            </w:pPr>
            <w:r>
              <w:rPr>
                <w:rFonts w:hint="eastAsia" w:ascii="宋体" w:hAnsi="宋体" w:cs="宋体"/>
                <w:color w:val="000000"/>
                <w:kern w:val="0"/>
                <w:sz w:val="18"/>
                <w:szCs w:val="18"/>
              </w:rPr>
              <w:t>第十四条第二款 房地产行政主管部门在核发商品房预售许可证时，应当对物业服务用房建筑面积、位置进行核查;不动产登记机构在办理不动产所有权登记时，应当在不动产登记簿中注明物业服务用房建筑面积、位置。</w:t>
            </w:r>
          </w:p>
        </w:tc>
        <w:tc>
          <w:tcPr>
            <w:tcW w:w="927" w:type="dxa"/>
            <w:tcBorders>
              <w:top w:val="single" w:color="000000" w:sz="4" w:space="0"/>
              <w:left w:val="single" w:color="000000" w:sz="4" w:space="0"/>
              <w:bottom w:val="single" w:color="000000" w:sz="4" w:space="0"/>
              <w:right w:val="single" w:color="000000" w:sz="4" w:space="0"/>
            </w:tcBorders>
            <w:vAlign w:val="center"/>
          </w:tcPr>
          <w:p w14:paraId="4CCEBCFC">
            <w:pPr>
              <w:widowControl/>
              <w:spacing w:line="240" w:lineRule="exact"/>
              <w:jc w:val="center"/>
              <w:textAlignment w:val="center"/>
              <w:rPr>
                <w:rFonts w:ascii="宋体" w:hAnsi="宋体" w:cs="宋体"/>
                <w:color w:val="000000"/>
                <w:sz w:val="18"/>
                <w:szCs w:val="18"/>
              </w:rPr>
            </w:pPr>
            <w:r>
              <w:rPr>
                <w:rFonts w:hint="eastAsia" w:ascii="宋体" w:hAnsi="宋体" w:cs="宋体"/>
                <w:color w:val="000000"/>
                <w:kern w:val="0"/>
                <w:sz w:val="18"/>
                <w:szCs w:val="18"/>
              </w:rPr>
              <w:t>县住建局</w:t>
            </w:r>
          </w:p>
        </w:tc>
        <w:tc>
          <w:tcPr>
            <w:tcW w:w="924" w:type="dxa"/>
            <w:tcBorders>
              <w:top w:val="single" w:color="000000" w:sz="4" w:space="0"/>
              <w:left w:val="single" w:color="000000" w:sz="4" w:space="0"/>
              <w:bottom w:val="single" w:color="000000" w:sz="4" w:space="0"/>
              <w:right w:val="single" w:color="000000" w:sz="4" w:space="0"/>
            </w:tcBorders>
            <w:vAlign w:val="center"/>
          </w:tcPr>
          <w:p w14:paraId="10C802C1">
            <w:pPr>
              <w:widowControl/>
              <w:spacing w:line="240" w:lineRule="exact"/>
              <w:jc w:val="left"/>
              <w:textAlignment w:val="center"/>
              <w:rPr>
                <w:rFonts w:ascii="宋体" w:hAnsi="宋体" w:cs="宋体"/>
                <w:color w:val="000000"/>
                <w:sz w:val="18"/>
                <w:szCs w:val="18"/>
              </w:rPr>
            </w:pPr>
            <w:r>
              <w:rPr>
                <w:rFonts w:hint="eastAsia" w:ascii="宋体" w:hAnsi="宋体" w:cs="宋体"/>
                <w:color w:val="000000"/>
                <w:kern w:val="0"/>
                <w:sz w:val="18"/>
                <w:szCs w:val="18"/>
              </w:rPr>
              <w:t>承接</w:t>
            </w:r>
          </w:p>
        </w:tc>
        <w:tc>
          <w:tcPr>
            <w:tcW w:w="1020" w:type="dxa"/>
            <w:tcBorders>
              <w:top w:val="single" w:color="000000" w:sz="4" w:space="0"/>
              <w:left w:val="single" w:color="000000" w:sz="4" w:space="0"/>
              <w:bottom w:val="single" w:color="000000" w:sz="4" w:space="0"/>
              <w:right w:val="single" w:color="000000" w:sz="4" w:space="0"/>
            </w:tcBorders>
            <w:vAlign w:val="center"/>
          </w:tcPr>
          <w:p w14:paraId="29FAE22F">
            <w:pPr>
              <w:widowControl/>
              <w:spacing w:line="240" w:lineRule="exact"/>
              <w:jc w:val="left"/>
              <w:textAlignment w:val="center"/>
              <w:rPr>
                <w:rFonts w:ascii="宋体" w:hAnsi="宋体" w:cs="宋体"/>
                <w:color w:val="000000"/>
                <w:sz w:val="18"/>
                <w:szCs w:val="18"/>
              </w:rPr>
            </w:pPr>
            <w:r>
              <w:rPr>
                <w:rFonts w:hint="eastAsia" w:ascii="宋体" w:hAnsi="宋体" w:cs="宋体"/>
                <w:color w:val="000000"/>
                <w:kern w:val="0"/>
                <w:sz w:val="18"/>
                <w:szCs w:val="18"/>
              </w:rPr>
              <w:t>对小区的物业用房抽查是否按照文件标准进行建设、是否符合物业用房标准。</w:t>
            </w:r>
          </w:p>
        </w:tc>
        <w:tc>
          <w:tcPr>
            <w:tcW w:w="597" w:type="dxa"/>
            <w:gridSpan w:val="2"/>
            <w:tcBorders>
              <w:top w:val="single" w:color="000000" w:sz="4" w:space="0"/>
              <w:left w:val="single" w:color="000000" w:sz="4" w:space="0"/>
              <w:bottom w:val="single" w:color="000000" w:sz="4" w:space="0"/>
              <w:right w:val="single" w:color="000000" w:sz="4" w:space="0"/>
            </w:tcBorders>
            <w:vAlign w:val="center"/>
          </w:tcPr>
          <w:p w14:paraId="4CD1EE57">
            <w:pPr>
              <w:spacing w:line="240" w:lineRule="exact"/>
              <w:jc w:val="left"/>
              <w:rPr>
                <w:rFonts w:ascii="宋体" w:hAnsi="宋体" w:cs="宋体"/>
                <w:color w:val="000000"/>
                <w:sz w:val="18"/>
                <w:szCs w:val="18"/>
              </w:rPr>
            </w:pPr>
          </w:p>
        </w:tc>
      </w:tr>
      <w:tr w14:paraId="57E3B28C">
        <w:tblPrEx>
          <w:tblCellMar>
            <w:top w:w="0" w:type="dxa"/>
            <w:left w:w="108" w:type="dxa"/>
            <w:bottom w:w="0" w:type="dxa"/>
            <w:right w:w="108" w:type="dxa"/>
          </w:tblCellMar>
        </w:tblPrEx>
        <w:trPr>
          <w:trHeight w:val="6065" w:hRule="atLeast"/>
          <w:jc w:val="center"/>
        </w:trPr>
        <w:tc>
          <w:tcPr>
            <w:tcW w:w="758" w:type="dxa"/>
            <w:tcBorders>
              <w:top w:val="single" w:color="000000" w:sz="4" w:space="0"/>
              <w:left w:val="single" w:color="000000" w:sz="4" w:space="0"/>
              <w:bottom w:val="single" w:color="000000" w:sz="4" w:space="0"/>
              <w:right w:val="single" w:color="000000" w:sz="4" w:space="0"/>
            </w:tcBorders>
            <w:vAlign w:val="center"/>
          </w:tcPr>
          <w:p w14:paraId="55363258">
            <w:pPr>
              <w:widowControl/>
              <w:spacing w:line="240" w:lineRule="exact"/>
              <w:jc w:val="center"/>
              <w:textAlignment w:val="center"/>
              <w:rPr>
                <w:rFonts w:ascii="宋体" w:hAnsi="宋体" w:cs="宋体"/>
                <w:color w:val="000000"/>
                <w:sz w:val="18"/>
                <w:szCs w:val="18"/>
              </w:rPr>
            </w:pPr>
            <w:r>
              <w:rPr>
                <w:rFonts w:hint="eastAsia" w:ascii="宋体" w:hAnsi="宋体" w:cs="宋体"/>
                <w:color w:val="000000"/>
                <w:kern w:val="0"/>
                <w:sz w:val="18"/>
                <w:szCs w:val="18"/>
              </w:rPr>
              <w:t>6</w:t>
            </w:r>
          </w:p>
        </w:tc>
        <w:tc>
          <w:tcPr>
            <w:tcW w:w="1147" w:type="dxa"/>
            <w:tcBorders>
              <w:top w:val="single" w:color="000000" w:sz="4" w:space="0"/>
              <w:left w:val="single" w:color="000000" w:sz="4" w:space="0"/>
              <w:bottom w:val="single" w:color="000000" w:sz="4" w:space="0"/>
              <w:right w:val="single" w:color="000000" w:sz="4" w:space="0"/>
            </w:tcBorders>
            <w:vAlign w:val="center"/>
          </w:tcPr>
          <w:p w14:paraId="7C2B8F0B">
            <w:pPr>
              <w:widowControl/>
              <w:spacing w:line="240" w:lineRule="exact"/>
              <w:jc w:val="left"/>
              <w:textAlignment w:val="center"/>
              <w:rPr>
                <w:rFonts w:ascii="宋体" w:hAnsi="宋体" w:cs="宋体"/>
                <w:color w:val="000000"/>
                <w:sz w:val="18"/>
                <w:szCs w:val="18"/>
              </w:rPr>
            </w:pPr>
            <w:r>
              <w:rPr>
                <w:rFonts w:hint="eastAsia" w:ascii="宋体" w:hAnsi="宋体" w:cs="宋体"/>
                <w:color w:val="000000"/>
                <w:kern w:val="0"/>
                <w:sz w:val="18"/>
                <w:szCs w:val="18"/>
              </w:rPr>
              <w:t>农作物种子生产经营许可证核发</w:t>
            </w:r>
          </w:p>
        </w:tc>
        <w:tc>
          <w:tcPr>
            <w:tcW w:w="998" w:type="dxa"/>
            <w:tcBorders>
              <w:top w:val="single" w:color="000000" w:sz="4" w:space="0"/>
              <w:left w:val="single" w:color="000000" w:sz="4" w:space="0"/>
              <w:bottom w:val="single" w:color="000000" w:sz="4" w:space="0"/>
              <w:right w:val="single" w:color="000000" w:sz="4" w:space="0"/>
            </w:tcBorders>
            <w:vAlign w:val="center"/>
          </w:tcPr>
          <w:p w14:paraId="288CC9B3">
            <w:pPr>
              <w:widowControl/>
              <w:spacing w:line="240" w:lineRule="exact"/>
              <w:jc w:val="left"/>
              <w:textAlignment w:val="center"/>
              <w:rPr>
                <w:rFonts w:ascii="宋体" w:hAnsi="宋体" w:cs="宋体"/>
                <w:color w:val="000000"/>
                <w:sz w:val="18"/>
                <w:szCs w:val="18"/>
              </w:rPr>
            </w:pPr>
            <w:r>
              <w:rPr>
                <w:rFonts w:hint="eastAsia" w:ascii="宋体" w:hAnsi="宋体" w:cs="宋体"/>
                <w:color w:val="000000"/>
                <w:kern w:val="0"/>
                <w:sz w:val="18"/>
                <w:szCs w:val="18"/>
              </w:rPr>
              <w:t>1.主要农作物常规种子生产经营及非主要农作物种子经营</w:t>
            </w:r>
          </w:p>
        </w:tc>
        <w:tc>
          <w:tcPr>
            <w:tcW w:w="966" w:type="dxa"/>
            <w:tcBorders>
              <w:top w:val="single" w:color="000000" w:sz="4" w:space="0"/>
              <w:left w:val="single" w:color="000000" w:sz="4" w:space="0"/>
              <w:bottom w:val="single" w:color="000000" w:sz="4" w:space="0"/>
              <w:right w:val="single" w:color="000000" w:sz="4" w:space="0"/>
            </w:tcBorders>
            <w:vAlign w:val="center"/>
          </w:tcPr>
          <w:p w14:paraId="0597B0E5">
            <w:pPr>
              <w:widowControl/>
              <w:spacing w:line="240" w:lineRule="exact"/>
              <w:jc w:val="center"/>
              <w:textAlignment w:val="center"/>
              <w:rPr>
                <w:rFonts w:ascii="宋体" w:hAnsi="宋体" w:cs="宋体"/>
                <w:color w:val="000000"/>
                <w:sz w:val="18"/>
                <w:szCs w:val="18"/>
              </w:rPr>
            </w:pPr>
            <w:r>
              <w:rPr>
                <w:rFonts w:hint="eastAsia" w:ascii="宋体" w:hAnsi="宋体" w:cs="宋体"/>
                <w:color w:val="000000"/>
                <w:kern w:val="0"/>
                <w:sz w:val="18"/>
                <w:szCs w:val="18"/>
              </w:rPr>
              <w:t>行政许可</w:t>
            </w:r>
          </w:p>
        </w:tc>
        <w:tc>
          <w:tcPr>
            <w:tcW w:w="2869" w:type="dxa"/>
            <w:tcBorders>
              <w:top w:val="single" w:color="000000" w:sz="4" w:space="0"/>
              <w:left w:val="single" w:color="000000" w:sz="4" w:space="0"/>
              <w:bottom w:val="single" w:color="000000" w:sz="4" w:space="0"/>
              <w:right w:val="single" w:color="000000" w:sz="4" w:space="0"/>
            </w:tcBorders>
            <w:vAlign w:val="center"/>
          </w:tcPr>
          <w:p w14:paraId="1EE5AF87">
            <w:pPr>
              <w:widowControl/>
              <w:spacing w:line="240" w:lineRule="exact"/>
              <w:jc w:val="left"/>
              <w:textAlignment w:val="center"/>
              <w:rPr>
                <w:rFonts w:hint="eastAsia" w:ascii="宋体" w:hAnsi="宋体" w:eastAsia="宋体" w:cs="宋体"/>
                <w:color w:val="000000"/>
                <w:spacing w:val="-6"/>
                <w:kern w:val="0"/>
                <w:sz w:val="18"/>
                <w:szCs w:val="18"/>
                <w:lang w:eastAsia="zh-CN"/>
              </w:rPr>
            </w:pPr>
            <w:r>
              <w:rPr>
                <w:rFonts w:hint="eastAsia" w:ascii="宋体" w:hAnsi="宋体" w:cs="宋体"/>
                <w:color w:val="000000"/>
                <w:spacing w:val="-6"/>
                <w:kern w:val="0"/>
                <w:sz w:val="18"/>
                <w:szCs w:val="18"/>
              </w:rPr>
              <w:t>【法律】《中华人民共和国种子法》（2000年7月8日主席令第三十四号，2015年11月4日予以修改）第三十一条 从事种子进出口业务的种子生产经营许可证，由省、自治区、直辖市人民政府农业、林业主管部门审核，国务院农业、林业主管部门核发。</w:t>
            </w:r>
          </w:p>
          <w:p w14:paraId="0193973F">
            <w:pPr>
              <w:widowControl/>
              <w:spacing w:line="240" w:lineRule="exact"/>
              <w:jc w:val="left"/>
              <w:textAlignment w:val="center"/>
              <w:rPr>
                <w:rFonts w:hint="eastAsia" w:ascii="宋体" w:hAnsi="宋体" w:eastAsia="宋体" w:cs="宋体"/>
                <w:color w:val="000000"/>
                <w:kern w:val="0"/>
                <w:sz w:val="18"/>
                <w:szCs w:val="18"/>
                <w:lang w:eastAsia="zh-CN"/>
              </w:rPr>
            </w:pPr>
            <w:r>
              <w:rPr>
                <w:rFonts w:hint="eastAsia" w:ascii="宋体" w:hAnsi="宋体" w:cs="宋体"/>
                <w:color w:val="000000"/>
                <w:kern w:val="0"/>
                <w:sz w:val="18"/>
                <w:szCs w:val="18"/>
              </w:rPr>
              <w:t>从事主要农作物杂交种子及其亲本种子、林木良种种子的生产经营以及实行选育生产经营相结合，符合国务院农业、林业主管部门规定条件的种子企业的种子生产经营许可证，由生产经营者所在地县级人民政府农业、林业主管部门审核，省、自治区、直辖市人民政府农业、林业主管部门核发。</w:t>
            </w:r>
          </w:p>
          <w:p w14:paraId="37A9F0A1">
            <w:pPr>
              <w:widowControl/>
              <w:spacing w:line="240" w:lineRule="exact"/>
              <w:jc w:val="left"/>
              <w:textAlignment w:val="center"/>
              <w:rPr>
                <w:rFonts w:hint="eastAsia" w:ascii="宋体" w:hAnsi="宋体" w:eastAsia="宋体" w:cs="宋体"/>
                <w:color w:val="000000"/>
                <w:spacing w:val="-6"/>
                <w:kern w:val="0"/>
                <w:sz w:val="18"/>
                <w:szCs w:val="18"/>
                <w:lang w:eastAsia="zh-CN"/>
              </w:rPr>
            </w:pPr>
            <w:r>
              <w:rPr>
                <w:rFonts w:hint="eastAsia" w:ascii="宋体" w:hAnsi="宋体" w:cs="宋体"/>
                <w:color w:val="000000"/>
                <w:kern w:val="0"/>
                <w:sz w:val="18"/>
                <w:szCs w:val="18"/>
              </w:rPr>
              <w:t>前两款规定以外的其他种子的生产经营许可证，由生产经营者所在地县级以上地方人民政府农业、林业</w:t>
            </w:r>
            <w:r>
              <w:rPr>
                <w:rFonts w:hint="eastAsia" w:ascii="宋体" w:hAnsi="宋体" w:cs="宋体"/>
                <w:color w:val="000000"/>
                <w:spacing w:val="-6"/>
                <w:kern w:val="0"/>
                <w:sz w:val="18"/>
                <w:szCs w:val="18"/>
              </w:rPr>
              <w:t>主管部门核发。只从事非主要农作物种子和非主要林木种子生产的，不需要办理种子生产经营许可证。</w:t>
            </w:r>
          </w:p>
          <w:p w14:paraId="3F6B4119">
            <w:pPr>
              <w:widowControl/>
              <w:spacing w:line="240" w:lineRule="exact"/>
              <w:jc w:val="left"/>
              <w:textAlignment w:val="center"/>
              <w:rPr>
                <w:rFonts w:hint="eastAsia" w:ascii="宋体" w:hAnsi="宋体" w:eastAsia="宋体" w:cs="宋体"/>
                <w:color w:val="000000"/>
                <w:spacing w:val="-6"/>
                <w:kern w:val="0"/>
                <w:sz w:val="18"/>
                <w:szCs w:val="18"/>
                <w:lang w:eastAsia="zh-CN"/>
              </w:rPr>
            </w:pPr>
            <w:r>
              <w:rPr>
                <w:rFonts w:hint="eastAsia" w:ascii="宋体" w:hAnsi="宋体" w:cs="宋体"/>
                <w:color w:val="000000"/>
                <w:spacing w:val="-6"/>
                <w:kern w:val="0"/>
                <w:sz w:val="18"/>
                <w:szCs w:val="18"/>
              </w:rPr>
              <w:t>【规章】《农作物种子生产经营许可管理办法》（根据2017年11月30日农业部令2017年第8号《农业部关于修改和废止部分规章、规范性文件的决定》修正，农业农村部令2019年第2号修订）</w:t>
            </w:r>
          </w:p>
          <w:p w14:paraId="68AC680F">
            <w:pPr>
              <w:widowControl/>
              <w:spacing w:line="240" w:lineRule="exact"/>
              <w:jc w:val="left"/>
              <w:textAlignment w:val="center"/>
              <w:rPr>
                <w:rFonts w:ascii="宋体" w:hAnsi="宋体" w:cs="宋体"/>
                <w:color w:val="000000"/>
                <w:sz w:val="18"/>
                <w:szCs w:val="18"/>
              </w:rPr>
            </w:pPr>
            <w:r>
              <w:rPr>
                <w:rFonts w:hint="eastAsia" w:ascii="宋体" w:hAnsi="宋体" w:cs="宋体"/>
                <w:color w:val="000000"/>
                <w:kern w:val="0"/>
                <w:sz w:val="18"/>
                <w:szCs w:val="18"/>
              </w:rPr>
              <w:t xml:space="preserve">    第二条 农作物种子生产经营许可证的申请、审核、核发和监管，适用本办法。</w:t>
            </w:r>
          </w:p>
        </w:tc>
        <w:tc>
          <w:tcPr>
            <w:tcW w:w="927" w:type="dxa"/>
            <w:tcBorders>
              <w:top w:val="single" w:color="000000" w:sz="4" w:space="0"/>
              <w:left w:val="single" w:color="000000" w:sz="4" w:space="0"/>
              <w:bottom w:val="single" w:color="000000" w:sz="4" w:space="0"/>
              <w:right w:val="single" w:color="000000" w:sz="4" w:space="0"/>
            </w:tcBorders>
            <w:vAlign w:val="center"/>
          </w:tcPr>
          <w:p w14:paraId="32BC1A0C">
            <w:pPr>
              <w:widowControl/>
              <w:spacing w:line="240" w:lineRule="exact"/>
              <w:jc w:val="center"/>
              <w:textAlignment w:val="center"/>
              <w:rPr>
                <w:rFonts w:ascii="宋体" w:hAnsi="宋体" w:cs="宋体"/>
                <w:color w:val="000000"/>
                <w:kern w:val="0"/>
                <w:sz w:val="18"/>
                <w:szCs w:val="18"/>
              </w:rPr>
            </w:pPr>
            <w:r>
              <w:rPr>
                <w:rFonts w:hint="eastAsia" w:ascii="宋体" w:hAnsi="宋体" w:cs="宋体"/>
                <w:color w:val="000000"/>
                <w:kern w:val="0"/>
                <w:sz w:val="18"/>
                <w:szCs w:val="18"/>
              </w:rPr>
              <w:t>县农业</w:t>
            </w:r>
          </w:p>
          <w:p w14:paraId="3A5BBD6D">
            <w:pPr>
              <w:widowControl/>
              <w:spacing w:line="240" w:lineRule="exact"/>
              <w:jc w:val="center"/>
              <w:textAlignment w:val="center"/>
              <w:rPr>
                <w:rFonts w:ascii="宋体" w:hAnsi="宋体" w:cs="宋体"/>
                <w:color w:val="000000"/>
                <w:sz w:val="18"/>
                <w:szCs w:val="18"/>
              </w:rPr>
            </w:pPr>
            <w:r>
              <w:rPr>
                <w:rFonts w:hint="eastAsia" w:ascii="宋体" w:hAnsi="宋体" w:cs="宋体"/>
                <w:color w:val="000000"/>
                <w:kern w:val="0"/>
                <w:sz w:val="18"/>
                <w:szCs w:val="18"/>
              </w:rPr>
              <w:t>农村局</w:t>
            </w:r>
          </w:p>
        </w:tc>
        <w:tc>
          <w:tcPr>
            <w:tcW w:w="924" w:type="dxa"/>
            <w:tcBorders>
              <w:top w:val="single" w:color="000000" w:sz="4" w:space="0"/>
              <w:left w:val="single" w:color="000000" w:sz="4" w:space="0"/>
              <w:bottom w:val="single" w:color="000000" w:sz="4" w:space="0"/>
              <w:right w:val="single" w:color="000000" w:sz="4" w:space="0"/>
            </w:tcBorders>
            <w:vAlign w:val="center"/>
          </w:tcPr>
          <w:p w14:paraId="4B8633C9">
            <w:pPr>
              <w:widowControl/>
              <w:spacing w:line="240" w:lineRule="exact"/>
              <w:jc w:val="center"/>
              <w:textAlignment w:val="center"/>
              <w:rPr>
                <w:rFonts w:ascii="宋体" w:hAnsi="宋体" w:cs="宋体"/>
                <w:color w:val="000000"/>
                <w:sz w:val="18"/>
                <w:szCs w:val="18"/>
              </w:rPr>
            </w:pPr>
            <w:r>
              <w:rPr>
                <w:rFonts w:hint="eastAsia" w:ascii="宋体" w:hAnsi="宋体" w:cs="宋体"/>
                <w:color w:val="000000"/>
                <w:kern w:val="0"/>
                <w:sz w:val="18"/>
                <w:szCs w:val="18"/>
              </w:rPr>
              <w:t>承接</w:t>
            </w:r>
          </w:p>
        </w:tc>
        <w:tc>
          <w:tcPr>
            <w:tcW w:w="1020" w:type="dxa"/>
            <w:tcBorders>
              <w:top w:val="single" w:color="000000" w:sz="4" w:space="0"/>
              <w:left w:val="single" w:color="000000" w:sz="4" w:space="0"/>
              <w:bottom w:val="single" w:color="000000" w:sz="4" w:space="0"/>
              <w:right w:val="single" w:color="000000" w:sz="4" w:space="0"/>
            </w:tcBorders>
            <w:vAlign w:val="center"/>
          </w:tcPr>
          <w:p w14:paraId="4D38D25E">
            <w:pPr>
              <w:widowControl/>
              <w:spacing w:line="240" w:lineRule="exact"/>
              <w:jc w:val="left"/>
              <w:textAlignment w:val="center"/>
              <w:rPr>
                <w:rFonts w:hint="eastAsia" w:ascii="宋体" w:hAnsi="宋体" w:eastAsia="宋体" w:cs="宋体"/>
                <w:color w:val="000000"/>
                <w:kern w:val="0"/>
                <w:sz w:val="18"/>
                <w:szCs w:val="18"/>
                <w:lang w:eastAsia="zh-CN"/>
              </w:rPr>
            </w:pPr>
            <w:r>
              <w:rPr>
                <w:rFonts w:hint="eastAsia" w:ascii="宋体" w:hAnsi="宋体" w:cs="宋体"/>
                <w:color w:val="000000"/>
                <w:kern w:val="0"/>
                <w:sz w:val="18"/>
                <w:szCs w:val="18"/>
              </w:rPr>
              <w:t>1.加强业务学习。</w:t>
            </w:r>
          </w:p>
          <w:p w14:paraId="72FCAAA5">
            <w:pPr>
              <w:widowControl/>
              <w:spacing w:line="240" w:lineRule="exact"/>
              <w:jc w:val="left"/>
              <w:textAlignment w:val="center"/>
              <w:rPr>
                <w:rFonts w:ascii="宋体" w:hAnsi="宋体" w:cs="宋体"/>
                <w:color w:val="000000"/>
                <w:sz w:val="18"/>
                <w:szCs w:val="18"/>
              </w:rPr>
            </w:pPr>
            <w:r>
              <w:rPr>
                <w:rFonts w:hint="eastAsia" w:ascii="宋体" w:hAnsi="宋体" w:cs="宋体"/>
                <w:color w:val="000000"/>
                <w:kern w:val="0"/>
                <w:sz w:val="18"/>
                <w:szCs w:val="18"/>
              </w:rPr>
              <w:t>2.建立随机抽查监管机制，对承接事项进行跟踪检查。</w:t>
            </w:r>
          </w:p>
        </w:tc>
        <w:tc>
          <w:tcPr>
            <w:tcW w:w="597" w:type="dxa"/>
            <w:gridSpan w:val="2"/>
            <w:tcBorders>
              <w:top w:val="single" w:color="000000" w:sz="4" w:space="0"/>
              <w:left w:val="single" w:color="000000" w:sz="4" w:space="0"/>
              <w:bottom w:val="single" w:color="000000" w:sz="4" w:space="0"/>
              <w:right w:val="single" w:color="000000" w:sz="4" w:space="0"/>
            </w:tcBorders>
            <w:vAlign w:val="center"/>
          </w:tcPr>
          <w:p w14:paraId="4D72157D">
            <w:pPr>
              <w:spacing w:line="240" w:lineRule="exact"/>
              <w:jc w:val="left"/>
              <w:rPr>
                <w:rFonts w:ascii="宋体" w:hAnsi="宋体" w:cs="宋体"/>
                <w:color w:val="000000"/>
                <w:sz w:val="18"/>
                <w:szCs w:val="18"/>
              </w:rPr>
            </w:pPr>
          </w:p>
        </w:tc>
      </w:tr>
      <w:tr w14:paraId="25167CDC">
        <w:tblPrEx>
          <w:tblCellMar>
            <w:top w:w="0" w:type="dxa"/>
            <w:left w:w="108" w:type="dxa"/>
            <w:bottom w:w="0" w:type="dxa"/>
            <w:right w:w="108" w:type="dxa"/>
          </w:tblCellMar>
        </w:tblPrEx>
        <w:trPr>
          <w:trHeight w:val="90" w:hRule="atLeast"/>
          <w:jc w:val="center"/>
        </w:trPr>
        <w:tc>
          <w:tcPr>
            <w:tcW w:w="758" w:type="dxa"/>
            <w:tcBorders>
              <w:top w:val="single" w:color="000000" w:sz="4" w:space="0"/>
              <w:left w:val="single" w:color="000000" w:sz="4" w:space="0"/>
              <w:bottom w:val="single" w:color="000000" w:sz="4" w:space="0"/>
              <w:right w:val="single" w:color="000000" w:sz="4" w:space="0"/>
            </w:tcBorders>
            <w:vAlign w:val="center"/>
          </w:tcPr>
          <w:p w14:paraId="57190AF7">
            <w:pPr>
              <w:widowControl/>
              <w:spacing w:line="240" w:lineRule="exact"/>
              <w:jc w:val="center"/>
              <w:textAlignment w:val="center"/>
              <w:rPr>
                <w:rFonts w:ascii="宋体" w:hAnsi="宋体" w:cs="宋体"/>
                <w:color w:val="000000"/>
                <w:sz w:val="18"/>
                <w:szCs w:val="18"/>
              </w:rPr>
            </w:pPr>
            <w:r>
              <w:rPr>
                <w:rFonts w:hint="eastAsia" w:ascii="宋体" w:hAnsi="宋体" w:cs="宋体"/>
                <w:color w:val="000000"/>
                <w:kern w:val="0"/>
                <w:sz w:val="18"/>
                <w:szCs w:val="18"/>
              </w:rPr>
              <w:t>7</w:t>
            </w:r>
          </w:p>
        </w:tc>
        <w:tc>
          <w:tcPr>
            <w:tcW w:w="1147" w:type="dxa"/>
            <w:tcBorders>
              <w:top w:val="single" w:color="000000" w:sz="4" w:space="0"/>
              <w:left w:val="single" w:color="000000" w:sz="4" w:space="0"/>
              <w:bottom w:val="single" w:color="000000" w:sz="4" w:space="0"/>
              <w:right w:val="single" w:color="000000" w:sz="4" w:space="0"/>
            </w:tcBorders>
            <w:vAlign w:val="center"/>
          </w:tcPr>
          <w:p w14:paraId="5BB4D0AD">
            <w:pPr>
              <w:widowControl/>
              <w:spacing w:line="240" w:lineRule="exact"/>
              <w:jc w:val="left"/>
              <w:textAlignment w:val="center"/>
              <w:rPr>
                <w:rFonts w:ascii="宋体" w:hAnsi="宋体" w:cs="宋体"/>
                <w:color w:val="000000"/>
                <w:sz w:val="18"/>
                <w:szCs w:val="18"/>
              </w:rPr>
            </w:pPr>
            <w:r>
              <w:rPr>
                <w:rFonts w:hint="eastAsia" w:ascii="宋体" w:hAnsi="宋体" w:cs="宋体"/>
                <w:color w:val="000000"/>
                <w:kern w:val="0"/>
                <w:sz w:val="18"/>
                <w:szCs w:val="18"/>
              </w:rPr>
              <w:t>动物防疫条件合格证核发</w:t>
            </w:r>
          </w:p>
        </w:tc>
        <w:tc>
          <w:tcPr>
            <w:tcW w:w="998" w:type="dxa"/>
            <w:tcBorders>
              <w:top w:val="single" w:color="000000" w:sz="4" w:space="0"/>
              <w:left w:val="single" w:color="000000" w:sz="4" w:space="0"/>
              <w:bottom w:val="single" w:color="000000" w:sz="4" w:space="0"/>
              <w:right w:val="single" w:color="000000" w:sz="4" w:space="0"/>
            </w:tcBorders>
            <w:vAlign w:val="center"/>
          </w:tcPr>
          <w:p w14:paraId="76CD8958">
            <w:pPr>
              <w:spacing w:line="240" w:lineRule="exact"/>
              <w:jc w:val="left"/>
              <w:rPr>
                <w:rFonts w:ascii="宋体" w:hAnsi="宋体" w:cs="宋体"/>
                <w:color w:val="000000"/>
                <w:sz w:val="18"/>
                <w:szCs w:val="18"/>
              </w:rPr>
            </w:pPr>
          </w:p>
        </w:tc>
        <w:tc>
          <w:tcPr>
            <w:tcW w:w="966" w:type="dxa"/>
            <w:tcBorders>
              <w:top w:val="single" w:color="000000" w:sz="4" w:space="0"/>
              <w:left w:val="single" w:color="000000" w:sz="4" w:space="0"/>
              <w:bottom w:val="single" w:color="000000" w:sz="4" w:space="0"/>
              <w:right w:val="single" w:color="000000" w:sz="4" w:space="0"/>
            </w:tcBorders>
            <w:vAlign w:val="center"/>
          </w:tcPr>
          <w:p w14:paraId="5CED2ECA">
            <w:pPr>
              <w:widowControl/>
              <w:spacing w:line="240" w:lineRule="exact"/>
              <w:jc w:val="center"/>
              <w:textAlignment w:val="center"/>
              <w:rPr>
                <w:rFonts w:ascii="宋体" w:hAnsi="宋体" w:cs="宋体"/>
                <w:color w:val="000000"/>
                <w:sz w:val="18"/>
                <w:szCs w:val="18"/>
              </w:rPr>
            </w:pPr>
            <w:r>
              <w:rPr>
                <w:rFonts w:hint="eastAsia" w:ascii="宋体" w:hAnsi="宋体" w:cs="宋体"/>
                <w:color w:val="000000"/>
                <w:kern w:val="0"/>
                <w:sz w:val="18"/>
                <w:szCs w:val="18"/>
              </w:rPr>
              <w:t>行政许可</w:t>
            </w:r>
          </w:p>
        </w:tc>
        <w:tc>
          <w:tcPr>
            <w:tcW w:w="2869" w:type="dxa"/>
            <w:tcBorders>
              <w:top w:val="single" w:color="000000" w:sz="4" w:space="0"/>
              <w:left w:val="single" w:color="000000" w:sz="4" w:space="0"/>
              <w:bottom w:val="single" w:color="000000" w:sz="4" w:space="0"/>
              <w:right w:val="single" w:color="000000" w:sz="4" w:space="0"/>
            </w:tcBorders>
            <w:vAlign w:val="center"/>
          </w:tcPr>
          <w:p w14:paraId="0FAC1156">
            <w:pPr>
              <w:widowControl/>
              <w:spacing w:line="230" w:lineRule="exact"/>
              <w:jc w:val="left"/>
              <w:textAlignment w:val="center"/>
              <w:rPr>
                <w:rFonts w:hint="eastAsia" w:ascii="宋体" w:hAnsi="宋体" w:eastAsia="宋体" w:cs="宋体"/>
                <w:color w:val="000000"/>
                <w:spacing w:val="-6"/>
                <w:kern w:val="0"/>
                <w:sz w:val="18"/>
                <w:szCs w:val="18"/>
                <w:lang w:eastAsia="zh-CN"/>
              </w:rPr>
            </w:pPr>
            <w:r>
              <w:rPr>
                <w:rFonts w:hint="eastAsia" w:ascii="宋体" w:hAnsi="宋体" w:cs="宋体"/>
                <w:color w:val="000000"/>
                <w:kern w:val="0"/>
                <w:sz w:val="18"/>
                <w:szCs w:val="18"/>
              </w:rPr>
              <w:t>【法律】《中华人民共和国动物防疫法》（1997年7月3日主席令第八十七号，2015年4月24日</w:t>
            </w:r>
            <w:r>
              <w:rPr>
                <w:rFonts w:hint="eastAsia" w:ascii="宋体" w:hAnsi="宋体" w:cs="宋体"/>
                <w:color w:val="000000"/>
                <w:spacing w:val="-6"/>
                <w:kern w:val="0"/>
                <w:sz w:val="18"/>
                <w:szCs w:val="18"/>
              </w:rPr>
              <w:t>予以修改）第二十条 兴办动物饲养场（养殖小区）和隔离场所，动物屠宰加工场所，以及动物和动物产品无害化处理场所，应当向县级以上地方人民政府兽医主管部门提出申请……经审查合格的，发给动物防疫条件合格证；不合格的，应当通知申请人并说明理由。</w:t>
            </w:r>
          </w:p>
          <w:p w14:paraId="7B76B220">
            <w:pPr>
              <w:widowControl/>
              <w:spacing w:line="230" w:lineRule="exact"/>
              <w:jc w:val="left"/>
              <w:textAlignment w:val="center"/>
              <w:rPr>
                <w:rFonts w:hint="eastAsia" w:ascii="宋体" w:hAnsi="宋体" w:eastAsia="宋体" w:cs="宋体"/>
                <w:color w:val="000000"/>
                <w:spacing w:val="-6"/>
                <w:kern w:val="0"/>
                <w:sz w:val="18"/>
                <w:szCs w:val="18"/>
                <w:lang w:eastAsia="zh-CN"/>
              </w:rPr>
            </w:pPr>
            <w:r>
              <w:rPr>
                <w:rFonts w:hint="eastAsia" w:ascii="宋体" w:hAnsi="宋体" w:cs="宋体"/>
                <w:color w:val="000000"/>
                <w:spacing w:val="-6"/>
                <w:kern w:val="0"/>
                <w:sz w:val="18"/>
                <w:szCs w:val="18"/>
              </w:rPr>
              <w:t>【规范性文件】《辽宁省人民政府关于取消调整一批行政职权事项的通知》（辽政发〔2016〕48号） “省畜牧局直属动物饲养场、跨省调运动物隔离场动物防疫条仵合格证的核发”下放至市级畜牧行政主管部门。</w:t>
            </w:r>
          </w:p>
          <w:p w14:paraId="574E482F">
            <w:pPr>
              <w:widowControl/>
              <w:spacing w:line="230" w:lineRule="exact"/>
              <w:jc w:val="left"/>
              <w:textAlignment w:val="center"/>
              <w:rPr>
                <w:rFonts w:ascii="宋体" w:hAnsi="宋体" w:cs="宋体"/>
                <w:color w:val="000000"/>
                <w:sz w:val="18"/>
                <w:szCs w:val="18"/>
              </w:rPr>
            </w:pPr>
            <w:r>
              <w:rPr>
                <w:rFonts w:hint="eastAsia" w:ascii="宋体" w:hAnsi="宋体" w:cs="宋体"/>
                <w:color w:val="000000"/>
                <w:kern w:val="0"/>
                <w:sz w:val="18"/>
                <w:szCs w:val="18"/>
              </w:rPr>
              <w:t>【规范性文件】《辽宁省人民政府关于取消和下放一批行政审批项目的决定》（辽政发〔2014〕30号） “非跨省引入动物隔离场和无害化处理场的防疫条件审查与合格证的核发”下放至市、县级人民政府畜牧兽医行政主管部门管理。</w:t>
            </w:r>
          </w:p>
        </w:tc>
        <w:tc>
          <w:tcPr>
            <w:tcW w:w="927" w:type="dxa"/>
            <w:tcBorders>
              <w:top w:val="single" w:color="000000" w:sz="4" w:space="0"/>
              <w:left w:val="single" w:color="000000" w:sz="4" w:space="0"/>
              <w:bottom w:val="single" w:color="000000" w:sz="4" w:space="0"/>
              <w:right w:val="single" w:color="000000" w:sz="4" w:space="0"/>
            </w:tcBorders>
            <w:vAlign w:val="center"/>
          </w:tcPr>
          <w:p w14:paraId="6EB7B8A6">
            <w:pPr>
              <w:widowControl/>
              <w:spacing w:line="240" w:lineRule="exact"/>
              <w:jc w:val="center"/>
              <w:textAlignment w:val="center"/>
              <w:rPr>
                <w:rFonts w:ascii="宋体" w:hAnsi="宋体" w:cs="宋体"/>
                <w:color w:val="000000"/>
                <w:kern w:val="0"/>
                <w:sz w:val="18"/>
                <w:szCs w:val="18"/>
              </w:rPr>
            </w:pPr>
            <w:r>
              <w:rPr>
                <w:rFonts w:hint="eastAsia" w:ascii="宋体" w:hAnsi="宋体" w:cs="宋体"/>
                <w:color w:val="000000"/>
                <w:kern w:val="0"/>
                <w:sz w:val="18"/>
                <w:szCs w:val="18"/>
              </w:rPr>
              <w:t>县农业</w:t>
            </w:r>
          </w:p>
          <w:p w14:paraId="2968C9B1">
            <w:pPr>
              <w:widowControl/>
              <w:spacing w:line="240" w:lineRule="exact"/>
              <w:jc w:val="center"/>
              <w:textAlignment w:val="center"/>
              <w:rPr>
                <w:rFonts w:ascii="宋体" w:hAnsi="宋体" w:cs="宋体"/>
                <w:color w:val="000000"/>
                <w:sz w:val="18"/>
                <w:szCs w:val="18"/>
              </w:rPr>
            </w:pPr>
            <w:r>
              <w:rPr>
                <w:rFonts w:hint="eastAsia" w:ascii="宋体" w:hAnsi="宋体" w:cs="宋体"/>
                <w:color w:val="000000"/>
                <w:kern w:val="0"/>
                <w:sz w:val="18"/>
                <w:szCs w:val="18"/>
              </w:rPr>
              <w:t>农村局</w:t>
            </w:r>
          </w:p>
        </w:tc>
        <w:tc>
          <w:tcPr>
            <w:tcW w:w="924" w:type="dxa"/>
            <w:tcBorders>
              <w:top w:val="single" w:color="000000" w:sz="4" w:space="0"/>
              <w:left w:val="single" w:color="000000" w:sz="4" w:space="0"/>
              <w:bottom w:val="single" w:color="000000" w:sz="4" w:space="0"/>
              <w:right w:val="single" w:color="000000" w:sz="4" w:space="0"/>
            </w:tcBorders>
            <w:vAlign w:val="center"/>
          </w:tcPr>
          <w:p w14:paraId="1AE6F321">
            <w:pPr>
              <w:widowControl/>
              <w:spacing w:line="240" w:lineRule="exact"/>
              <w:jc w:val="center"/>
              <w:textAlignment w:val="center"/>
              <w:rPr>
                <w:rFonts w:ascii="宋体" w:hAnsi="宋体" w:cs="宋体"/>
                <w:color w:val="000000"/>
                <w:sz w:val="18"/>
                <w:szCs w:val="18"/>
              </w:rPr>
            </w:pPr>
            <w:r>
              <w:rPr>
                <w:rFonts w:hint="eastAsia" w:ascii="宋体" w:hAnsi="宋体" w:cs="宋体"/>
                <w:color w:val="000000"/>
                <w:kern w:val="0"/>
                <w:sz w:val="18"/>
                <w:szCs w:val="18"/>
              </w:rPr>
              <w:t>承接（部分）</w:t>
            </w:r>
          </w:p>
        </w:tc>
        <w:tc>
          <w:tcPr>
            <w:tcW w:w="1020" w:type="dxa"/>
            <w:tcBorders>
              <w:top w:val="single" w:color="000000" w:sz="4" w:space="0"/>
              <w:left w:val="single" w:color="000000" w:sz="4" w:space="0"/>
              <w:bottom w:val="single" w:color="000000" w:sz="4" w:space="0"/>
              <w:right w:val="single" w:color="000000" w:sz="4" w:space="0"/>
            </w:tcBorders>
            <w:vAlign w:val="center"/>
          </w:tcPr>
          <w:p w14:paraId="1ECD6BCE">
            <w:pPr>
              <w:widowControl/>
              <w:spacing w:line="240" w:lineRule="exact"/>
              <w:jc w:val="left"/>
              <w:textAlignment w:val="center"/>
              <w:rPr>
                <w:rFonts w:hint="eastAsia" w:ascii="宋体" w:hAnsi="宋体" w:eastAsia="宋体" w:cs="宋体"/>
                <w:color w:val="000000"/>
                <w:kern w:val="0"/>
                <w:sz w:val="18"/>
                <w:szCs w:val="18"/>
                <w:lang w:eastAsia="zh-CN"/>
              </w:rPr>
            </w:pPr>
            <w:r>
              <w:rPr>
                <w:rFonts w:hint="eastAsia" w:ascii="宋体" w:hAnsi="宋体" w:cs="宋体"/>
                <w:color w:val="000000"/>
                <w:kern w:val="0"/>
                <w:sz w:val="18"/>
                <w:szCs w:val="18"/>
              </w:rPr>
              <w:t>1.加强业务学习。</w:t>
            </w:r>
          </w:p>
          <w:p w14:paraId="7DD8BFA8">
            <w:pPr>
              <w:widowControl/>
              <w:spacing w:line="240" w:lineRule="exact"/>
              <w:jc w:val="left"/>
              <w:textAlignment w:val="center"/>
              <w:rPr>
                <w:rFonts w:ascii="宋体" w:hAnsi="宋体" w:cs="宋体"/>
                <w:color w:val="000000"/>
                <w:sz w:val="18"/>
                <w:szCs w:val="18"/>
              </w:rPr>
            </w:pPr>
            <w:r>
              <w:rPr>
                <w:rFonts w:hint="eastAsia" w:ascii="宋体" w:hAnsi="宋体" w:cs="宋体"/>
                <w:color w:val="000000"/>
                <w:kern w:val="0"/>
                <w:sz w:val="18"/>
                <w:szCs w:val="18"/>
              </w:rPr>
              <w:t>2.建立随机抽查监管机制，对承接事项进行跟踪检查。</w:t>
            </w:r>
          </w:p>
        </w:tc>
        <w:tc>
          <w:tcPr>
            <w:tcW w:w="597" w:type="dxa"/>
            <w:gridSpan w:val="2"/>
            <w:tcBorders>
              <w:top w:val="single" w:color="000000" w:sz="4" w:space="0"/>
              <w:left w:val="single" w:color="000000" w:sz="4" w:space="0"/>
              <w:bottom w:val="single" w:color="000000" w:sz="4" w:space="0"/>
              <w:right w:val="single" w:color="000000" w:sz="4" w:space="0"/>
            </w:tcBorders>
            <w:vAlign w:val="center"/>
          </w:tcPr>
          <w:p w14:paraId="17DC9363">
            <w:pPr>
              <w:widowControl/>
              <w:spacing w:line="240" w:lineRule="exact"/>
              <w:jc w:val="left"/>
              <w:textAlignment w:val="center"/>
              <w:rPr>
                <w:rFonts w:ascii="宋体" w:hAnsi="宋体" w:cs="宋体"/>
                <w:color w:val="000000"/>
                <w:sz w:val="18"/>
                <w:szCs w:val="18"/>
              </w:rPr>
            </w:pPr>
            <w:r>
              <w:rPr>
                <w:rFonts w:hint="eastAsia" w:ascii="宋体" w:hAnsi="宋体" w:cs="宋体"/>
                <w:color w:val="000000"/>
                <w:kern w:val="0"/>
                <w:sz w:val="18"/>
                <w:szCs w:val="18"/>
              </w:rPr>
              <w:t>“跨省调运动物隔离场动物防疫条仵合格证的核发”由市农业行政主管部门实施。</w:t>
            </w:r>
          </w:p>
        </w:tc>
      </w:tr>
      <w:tr w14:paraId="37DBAA09">
        <w:tblPrEx>
          <w:tblCellMar>
            <w:top w:w="0" w:type="dxa"/>
            <w:left w:w="108" w:type="dxa"/>
            <w:bottom w:w="0" w:type="dxa"/>
            <w:right w:w="108" w:type="dxa"/>
          </w:tblCellMar>
        </w:tblPrEx>
        <w:trPr>
          <w:trHeight w:val="1965" w:hRule="atLeast"/>
          <w:jc w:val="center"/>
        </w:trPr>
        <w:tc>
          <w:tcPr>
            <w:tcW w:w="758" w:type="dxa"/>
            <w:tcBorders>
              <w:top w:val="single" w:color="000000" w:sz="4" w:space="0"/>
              <w:left w:val="single" w:color="000000" w:sz="4" w:space="0"/>
              <w:bottom w:val="single" w:color="000000" w:sz="4" w:space="0"/>
              <w:right w:val="single" w:color="000000" w:sz="4" w:space="0"/>
            </w:tcBorders>
            <w:vAlign w:val="center"/>
          </w:tcPr>
          <w:p w14:paraId="3BD2E974">
            <w:pPr>
              <w:widowControl/>
              <w:spacing w:line="240" w:lineRule="exact"/>
              <w:jc w:val="center"/>
              <w:textAlignment w:val="center"/>
              <w:rPr>
                <w:rFonts w:ascii="宋体" w:hAnsi="宋体" w:cs="宋体"/>
                <w:color w:val="000000"/>
                <w:sz w:val="18"/>
                <w:szCs w:val="18"/>
              </w:rPr>
            </w:pPr>
            <w:r>
              <w:rPr>
                <w:rFonts w:hint="eastAsia" w:ascii="宋体" w:hAnsi="宋体" w:cs="宋体"/>
                <w:color w:val="000000"/>
                <w:kern w:val="0"/>
                <w:sz w:val="18"/>
                <w:szCs w:val="18"/>
              </w:rPr>
              <w:t>8</w:t>
            </w:r>
          </w:p>
        </w:tc>
        <w:tc>
          <w:tcPr>
            <w:tcW w:w="1147" w:type="dxa"/>
            <w:tcBorders>
              <w:top w:val="single" w:color="000000" w:sz="4" w:space="0"/>
              <w:left w:val="single" w:color="000000" w:sz="4" w:space="0"/>
              <w:bottom w:val="single" w:color="000000" w:sz="4" w:space="0"/>
              <w:right w:val="single" w:color="000000" w:sz="4" w:space="0"/>
            </w:tcBorders>
            <w:vAlign w:val="center"/>
          </w:tcPr>
          <w:p w14:paraId="4D335FF7">
            <w:pPr>
              <w:widowControl/>
              <w:spacing w:line="240" w:lineRule="exact"/>
              <w:jc w:val="left"/>
              <w:textAlignment w:val="center"/>
              <w:rPr>
                <w:rFonts w:ascii="宋体" w:hAnsi="宋体" w:cs="宋体"/>
                <w:color w:val="000000"/>
                <w:sz w:val="18"/>
                <w:szCs w:val="18"/>
              </w:rPr>
            </w:pPr>
            <w:r>
              <w:rPr>
                <w:rFonts w:hint="eastAsia" w:ascii="宋体" w:hAnsi="宋体" w:cs="宋体"/>
                <w:color w:val="000000"/>
                <w:kern w:val="0"/>
                <w:sz w:val="18"/>
                <w:szCs w:val="18"/>
              </w:rPr>
              <w:t>动物诊疗许可证核发</w:t>
            </w:r>
          </w:p>
        </w:tc>
        <w:tc>
          <w:tcPr>
            <w:tcW w:w="998" w:type="dxa"/>
            <w:tcBorders>
              <w:top w:val="single" w:color="000000" w:sz="4" w:space="0"/>
              <w:left w:val="single" w:color="000000" w:sz="4" w:space="0"/>
              <w:bottom w:val="single" w:color="000000" w:sz="4" w:space="0"/>
              <w:right w:val="single" w:color="000000" w:sz="4" w:space="0"/>
            </w:tcBorders>
            <w:vAlign w:val="center"/>
          </w:tcPr>
          <w:p w14:paraId="74A264B3">
            <w:pPr>
              <w:spacing w:line="240" w:lineRule="exact"/>
              <w:jc w:val="left"/>
              <w:rPr>
                <w:rFonts w:ascii="宋体" w:hAnsi="宋体" w:cs="宋体"/>
                <w:color w:val="000000"/>
                <w:sz w:val="18"/>
                <w:szCs w:val="18"/>
              </w:rPr>
            </w:pPr>
          </w:p>
        </w:tc>
        <w:tc>
          <w:tcPr>
            <w:tcW w:w="966" w:type="dxa"/>
            <w:tcBorders>
              <w:top w:val="single" w:color="000000" w:sz="4" w:space="0"/>
              <w:left w:val="single" w:color="000000" w:sz="4" w:space="0"/>
              <w:bottom w:val="single" w:color="000000" w:sz="4" w:space="0"/>
              <w:right w:val="single" w:color="000000" w:sz="4" w:space="0"/>
            </w:tcBorders>
            <w:vAlign w:val="center"/>
          </w:tcPr>
          <w:p w14:paraId="667FD22D">
            <w:pPr>
              <w:widowControl/>
              <w:spacing w:line="240" w:lineRule="exact"/>
              <w:jc w:val="center"/>
              <w:textAlignment w:val="center"/>
              <w:rPr>
                <w:rFonts w:ascii="宋体" w:hAnsi="宋体" w:cs="宋体"/>
                <w:color w:val="000000"/>
                <w:sz w:val="18"/>
                <w:szCs w:val="18"/>
              </w:rPr>
            </w:pPr>
            <w:r>
              <w:rPr>
                <w:rFonts w:hint="eastAsia" w:ascii="宋体" w:hAnsi="宋体" w:cs="宋体"/>
                <w:color w:val="000000"/>
                <w:kern w:val="0"/>
                <w:sz w:val="18"/>
                <w:szCs w:val="18"/>
              </w:rPr>
              <w:t>行政许可</w:t>
            </w:r>
          </w:p>
        </w:tc>
        <w:tc>
          <w:tcPr>
            <w:tcW w:w="2869" w:type="dxa"/>
            <w:tcBorders>
              <w:top w:val="single" w:color="000000" w:sz="4" w:space="0"/>
              <w:left w:val="single" w:color="000000" w:sz="4" w:space="0"/>
              <w:bottom w:val="single" w:color="000000" w:sz="4" w:space="0"/>
              <w:right w:val="single" w:color="000000" w:sz="4" w:space="0"/>
            </w:tcBorders>
            <w:vAlign w:val="center"/>
          </w:tcPr>
          <w:p w14:paraId="2B1BB4AE">
            <w:pPr>
              <w:widowControl/>
              <w:spacing w:line="230" w:lineRule="exact"/>
              <w:jc w:val="left"/>
              <w:textAlignment w:val="center"/>
              <w:rPr>
                <w:rFonts w:ascii="宋体" w:hAnsi="宋体" w:cs="宋体"/>
                <w:color w:val="000000"/>
                <w:sz w:val="18"/>
                <w:szCs w:val="18"/>
              </w:rPr>
            </w:pPr>
            <w:r>
              <w:rPr>
                <w:rFonts w:hint="eastAsia" w:ascii="宋体" w:hAnsi="宋体" w:cs="宋体"/>
                <w:color w:val="000000"/>
                <w:spacing w:val="-6"/>
                <w:kern w:val="0"/>
                <w:sz w:val="18"/>
                <w:szCs w:val="18"/>
              </w:rPr>
              <w:t>【法律】《中华人民共和国动物防疫法》（1997年7月3日主席令第八十七号，2015年4月24日予以修改）第五十一条 设立从事动物诊疗活动的机构，应当向县级以上地方人民政府兽医主管部门申请动物诊疗许可证。受理申请的兽医主管部门应当依照本法和《中华人民共和国行政许可法》的规定进行审查。经审查合格的，发给动物诊疗许可证；不合格的，应当通知申请人并说明理由。</w:t>
            </w:r>
          </w:p>
        </w:tc>
        <w:tc>
          <w:tcPr>
            <w:tcW w:w="927" w:type="dxa"/>
            <w:tcBorders>
              <w:top w:val="single" w:color="000000" w:sz="4" w:space="0"/>
              <w:left w:val="single" w:color="000000" w:sz="4" w:space="0"/>
              <w:bottom w:val="single" w:color="000000" w:sz="4" w:space="0"/>
              <w:right w:val="single" w:color="000000" w:sz="4" w:space="0"/>
            </w:tcBorders>
            <w:vAlign w:val="center"/>
          </w:tcPr>
          <w:p w14:paraId="7049B635">
            <w:pPr>
              <w:widowControl/>
              <w:spacing w:line="240" w:lineRule="exact"/>
              <w:jc w:val="center"/>
              <w:textAlignment w:val="center"/>
              <w:rPr>
                <w:rFonts w:ascii="宋体" w:hAnsi="宋体" w:cs="宋体"/>
                <w:color w:val="000000"/>
                <w:kern w:val="0"/>
                <w:sz w:val="18"/>
                <w:szCs w:val="18"/>
              </w:rPr>
            </w:pPr>
            <w:r>
              <w:rPr>
                <w:rFonts w:hint="eastAsia" w:ascii="宋体" w:hAnsi="宋体" w:cs="宋体"/>
                <w:color w:val="000000"/>
                <w:kern w:val="0"/>
                <w:sz w:val="18"/>
                <w:szCs w:val="18"/>
              </w:rPr>
              <w:t>县农业</w:t>
            </w:r>
          </w:p>
          <w:p w14:paraId="45287DD4">
            <w:pPr>
              <w:widowControl/>
              <w:spacing w:line="240" w:lineRule="exact"/>
              <w:jc w:val="center"/>
              <w:textAlignment w:val="center"/>
              <w:rPr>
                <w:rFonts w:ascii="宋体" w:hAnsi="宋体" w:cs="宋体"/>
                <w:color w:val="000000"/>
                <w:sz w:val="18"/>
                <w:szCs w:val="18"/>
              </w:rPr>
            </w:pPr>
            <w:r>
              <w:rPr>
                <w:rFonts w:hint="eastAsia" w:ascii="宋体" w:hAnsi="宋体" w:cs="宋体"/>
                <w:color w:val="000000"/>
                <w:kern w:val="0"/>
                <w:sz w:val="18"/>
                <w:szCs w:val="18"/>
              </w:rPr>
              <w:t>农村局</w:t>
            </w:r>
          </w:p>
        </w:tc>
        <w:tc>
          <w:tcPr>
            <w:tcW w:w="924" w:type="dxa"/>
            <w:tcBorders>
              <w:top w:val="single" w:color="000000" w:sz="4" w:space="0"/>
              <w:left w:val="single" w:color="000000" w:sz="4" w:space="0"/>
              <w:bottom w:val="single" w:color="000000" w:sz="4" w:space="0"/>
              <w:right w:val="single" w:color="000000" w:sz="4" w:space="0"/>
            </w:tcBorders>
            <w:vAlign w:val="center"/>
          </w:tcPr>
          <w:p w14:paraId="04A601F7">
            <w:pPr>
              <w:widowControl/>
              <w:spacing w:line="240" w:lineRule="exact"/>
              <w:jc w:val="center"/>
              <w:textAlignment w:val="center"/>
              <w:rPr>
                <w:rFonts w:ascii="宋体" w:hAnsi="宋体" w:cs="宋体"/>
                <w:color w:val="000000"/>
                <w:sz w:val="18"/>
                <w:szCs w:val="18"/>
              </w:rPr>
            </w:pPr>
            <w:r>
              <w:rPr>
                <w:rFonts w:hint="eastAsia" w:ascii="宋体" w:hAnsi="宋体" w:cs="宋体"/>
                <w:color w:val="000000"/>
                <w:kern w:val="0"/>
                <w:sz w:val="18"/>
                <w:szCs w:val="18"/>
              </w:rPr>
              <w:t>承接</w:t>
            </w:r>
          </w:p>
        </w:tc>
        <w:tc>
          <w:tcPr>
            <w:tcW w:w="1020" w:type="dxa"/>
            <w:tcBorders>
              <w:top w:val="single" w:color="000000" w:sz="4" w:space="0"/>
              <w:left w:val="single" w:color="000000" w:sz="4" w:space="0"/>
              <w:bottom w:val="single" w:color="000000" w:sz="4" w:space="0"/>
              <w:right w:val="single" w:color="000000" w:sz="4" w:space="0"/>
            </w:tcBorders>
            <w:vAlign w:val="center"/>
          </w:tcPr>
          <w:p w14:paraId="5E7D32EC">
            <w:pPr>
              <w:widowControl/>
              <w:spacing w:line="240" w:lineRule="exact"/>
              <w:jc w:val="left"/>
              <w:textAlignment w:val="center"/>
              <w:rPr>
                <w:rFonts w:hint="eastAsia" w:ascii="宋体" w:hAnsi="宋体" w:eastAsia="宋体" w:cs="宋体"/>
                <w:color w:val="000000"/>
                <w:kern w:val="0"/>
                <w:sz w:val="18"/>
                <w:szCs w:val="18"/>
                <w:lang w:eastAsia="zh-CN"/>
              </w:rPr>
            </w:pPr>
            <w:r>
              <w:rPr>
                <w:rFonts w:hint="eastAsia" w:ascii="宋体" w:hAnsi="宋体" w:cs="宋体"/>
                <w:color w:val="000000"/>
                <w:kern w:val="0"/>
                <w:sz w:val="18"/>
                <w:szCs w:val="18"/>
              </w:rPr>
              <w:t>1.加强业务学习。</w:t>
            </w:r>
          </w:p>
          <w:p w14:paraId="25A20174">
            <w:pPr>
              <w:widowControl/>
              <w:spacing w:line="240" w:lineRule="exact"/>
              <w:jc w:val="left"/>
              <w:textAlignment w:val="center"/>
              <w:rPr>
                <w:rFonts w:ascii="宋体" w:hAnsi="宋体" w:cs="宋体"/>
                <w:color w:val="000000"/>
                <w:sz w:val="18"/>
                <w:szCs w:val="18"/>
              </w:rPr>
            </w:pPr>
            <w:r>
              <w:rPr>
                <w:rFonts w:hint="eastAsia" w:ascii="宋体" w:hAnsi="宋体" w:cs="宋体"/>
                <w:color w:val="000000"/>
                <w:kern w:val="0"/>
                <w:sz w:val="18"/>
                <w:szCs w:val="18"/>
              </w:rPr>
              <w:t>2.建立随机抽查监管机制，对承接事项进行跟踪检查。</w:t>
            </w:r>
          </w:p>
        </w:tc>
        <w:tc>
          <w:tcPr>
            <w:tcW w:w="597" w:type="dxa"/>
            <w:gridSpan w:val="2"/>
            <w:tcBorders>
              <w:top w:val="single" w:color="000000" w:sz="4" w:space="0"/>
              <w:left w:val="single" w:color="000000" w:sz="4" w:space="0"/>
              <w:bottom w:val="single" w:color="000000" w:sz="4" w:space="0"/>
              <w:right w:val="single" w:color="000000" w:sz="4" w:space="0"/>
            </w:tcBorders>
            <w:vAlign w:val="center"/>
          </w:tcPr>
          <w:p w14:paraId="168E1FC7">
            <w:pPr>
              <w:spacing w:line="240" w:lineRule="exact"/>
              <w:jc w:val="left"/>
              <w:rPr>
                <w:rFonts w:ascii="宋体" w:hAnsi="宋体" w:cs="宋体"/>
                <w:color w:val="000000"/>
                <w:sz w:val="18"/>
                <w:szCs w:val="18"/>
              </w:rPr>
            </w:pPr>
          </w:p>
        </w:tc>
      </w:tr>
      <w:tr w14:paraId="5C12F988">
        <w:tblPrEx>
          <w:tblCellMar>
            <w:top w:w="0" w:type="dxa"/>
            <w:left w:w="108" w:type="dxa"/>
            <w:bottom w:w="0" w:type="dxa"/>
            <w:right w:w="108" w:type="dxa"/>
          </w:tblCellMar>
        </w:tblPrEx>
        <w:trPr>
          <w:trHeight w:val="2870" w:hRule="atLeast"/>
          <w:jc w:val="center"/>
        </w:trPr>
        <w:tc>
          <w:tcPr>
            <w:tcW w:w="758" w:type="dxa"/>
            <w:tcBorders>
              <w:top w:val="single" w:color="000000" w:sz="4" w:space="0"/>
              <w:left w:val="single" w:color="000000" w:sz="4" w:space="0"/>
              <w:bottom w:val="single" w:color="000000" w:sz="4" w:space="0"/>
              <w:right w:val="single" w:color="000000" w:sz="4" w:space="0"/>
            </w:tcBorders>
            <w:vAlign w:val="center"/>
          </w:tcPr>
          <w:p w14:paraId="5288FFAC">
            <w:pPr>
              <w:widowControl/>
              <w:spacing w:line="240" w:lineRule="exact"/>
              <w:jc w:val="center"/>
              <w:textAlignment w:val="center"/>
              <w:rPr>
                <w:rFonts w:ascii="宋体" w:hAnsi="宋体" w:cs="宋体"/>
                <w:color w:val="000000"/>
                <w:sz w:val="18"/>
                <w:szCs w:val="18"/>
              </w:rPr>
            </w:pPr>
            <w:r>
              <w:rPr>
                <w:rFonts w:hint="eastAsia" w:ascii="宋体" w:hAnsi="宋体" w:cs="宋体"/>
                <w:color w:val="000000"/>
                <w:kern w:val="0"/>
                <w:sz w:val="18"/>
                <w:szCs w:val="18"/>
              </w:rPr>
              <w:t>9</w:t>
            </w:r>
          </w:p>
        </w:tc>
        <w:tc>
          <w:tcPr>
            <w:tcW w:w="1147" w:type="dxa"/>
            <w:tcBorders>
              <w:top w:val="single" w:color="000000" w:sz="4" w:space="0"/>
              <w:left w:val="single" w:color="000000" w:sz="4" w:space="0"/>
              <w:bottom w:val="single" w:color="000000" w:sz="4" w:space="0"/>
              <w:right w:val="single" w:color="000000" w:sz="4" w:space="0"/>
            </w:tcBorders>
            <w:vAlign w:val="center"/>
          </w:tcPr>
          <w:p w14:paraId="7F800587">
            <w:pPr>
              <w:widowControl/>
              <w:spacing w:line="240" w:lineRule="exact"/>
              <w:jc w:val="left"/>
              <w:textAlignment w:val="center"/>
              <w:rPr>
                <w:rFonts w:ascii="宋体" w:hAnsi="宋体" w:cs="宋体"/>
                <w:color w:val="000000"/>
                <w:sz w:val="18"/>
                <w:szCs w:val="18"/>
              </w:rPr>
            </w:pPr>
            <w:r>
              <w:rPr>
                <w:rFonts w:hint="eastAsia" w:ascii="宋体" w:hAnsi="宋体" w:cs="宋体"/>
                <w:color w:val="000000"/>
                <w:kern w:val="0"/>
                <w:sz w:val="18"/>
                <w:szCs w:val="18"/>
              </w:rPr>
              <w:t>猎捕国家二级保护水生野生动物审批</w:t>
            </w:r>
          </w:p>
        </w:tc>
        <w:tc>
          <w:tcPr>
            <w:tcW w:w="998" w:type="dxa"/>
            <w:tcBorders>
              <w:top w:val="single" w:color="000000" w:sz="4" w:space="0"/>
              <w:left w:val="single" w:color="000000" w:sz="4" w:space="0"/>
              <w:bottom w:val="single" w:color="000000" w:sz="4" w:space="0"/>
              <w:right w:val="single" w:color="000000" w:sz="4" w:space="0"/>
            </w:tcBorders>
            <w:vAlign w:val="center"/>
          </w:tcPr>
          <w:p w14:paraId="78B031EA">
            <w:pPr>
              <w:spacing w:line="240" w:lineRule="exact"/>
              <w:jc w:val="left"/>
              <w:rPr>
                <w:rFonts w:ascii="宋体" w:hAnsi="宋体" w:cs="宋体"/>
                <w:color w:val="000000"/>
                <w:sz w:val="18"/>
                <w:szCs w:val="18"/>
              </w:rPr>
            </w:pPr>
          </w:p>
        </w:tc>
        <w:tc>
          <w:tcPr>
            <w:tcW w:w="966" w:type="dxa"/>
            <w:tcBorders>
              <w:top w:val="single" w:color="000000" w:sz="4" w:space="0"/>
              <w:left w:val="single" w:color="000000" w:sz="4" w:space="0"/>
              <w:bottom w:val="single" w:color="000000" w:sz="4" w:space="0"/>
              <w:right w:val="single" w:color="000000" w:sz="4" w:space="0"/>
            </w:tcBorders>
            <w:vAlign w:val="center"/>
          </w:tcPr>
          <w:p w14:paraId="5B193D02">
            <w:pPr>
              <w:widowControl/>
              <w:spacing w:line="240" w:lineRule="exact"/>
              <w:jc w:val="center"/>
              <w:textAlignment w:val="center"/>
              <w:rPr>
                <w:rFonts w:ascii="宋体" w:hAnsi="宋体" w:cs="宋体"/>
                <w:color w:val="000000"/>
                <w:sz w:val="18"/>
                <w:szCs w:val="18"/>
              </w:rPr>
            </w:pPr>
            <w:r>
              <w:rPr>
                <w:rFonts w:hint="eastAsia" w:ascii="宋体" w:hAnsi="宋体" w:cs="宋体"/>
                <w:color w:val="000000"/>
                <w:kern w:val="0"/>
                <w:sz w:val="18"/>
                <w:szCs w:val="18"/>
              </w:rPr>
              <w:t>行政许可</w:t>
            </w:r>
          </w:p>
        </w:tc>
        <w:tc>
          <w:tcPr>
            <w:tcW w:w="2869" w:type="dxa"/>
            <w:tcBorders>
              <w:top w:val="single" w:color="000000" w:sz="4" w:space="0"/>
              <w:left w:val="single" w:color="000000" w:sz="4" w:space="0"/>
              <w:bottom w:val="single" w:color="000000" w:sz="4" w:space="0"/>
              <w:right w:val="single" w:color="000000" w:sz="4" w:space="0"/>
            </w:tcBorders>
            <w:vAlign w:val="center"/>
          </w:tcPr>
          <w:p w14:paraId="71082287">
            <w:pPr>
              <w:widowControl/>
              <w:spacing w:line="230" w:lineRule="exact"/>
              <w:jc w:val="left"/>
              <w:textAlignment w:val="center"/>
              <w:rPr>
                <w:rFonts w:hint="eastAsia" w:ascii="宋体" w:hAnsi="宋体" w:eastAsia="宋体" w:cs="宋体"/>
                <w:color w:val="000000"/>
                <w:spacing w:val="-6"/>
                <w:kern w:val="0"/>
                <w:sz w:val="18"/>
                <w:szCs w:val="18"/>
                <w:lang w:eastAsia="zh-CN"/>
              </w:rPr>
            </w:pPr>
            <w:r>
              <w:rPr>
                <w:rFonts w:hint="eastAsia" w:ascii="宋体" w:hAnsi="宋体" w:cs="宋体"/>
                <w:color w:val="000000"/>
                <w:spacing w:val="-6"/>
                <w:kern w:val="0"/>
                <w:sz w:val="18"/>
                <w:szCs w:val="18"/>
              </w:rPr>
              <w:t>【法律】《中华人民共和国野生动物保护法》（1988年11月8日主席令第九号，2016年7月2日予以修订）第七条 国务院林业、渔业主管部门分别主管全国陆生、水生野生动物保护工作。县级以上地方人民政府林业、渔业主管部门分别主管本行政区域内陆生、水生野生动物保护工作。第二十一条 需要猎捕国家二级保护野生动物的，应当向省、自治区、直辖市人民政府野生动物保护主管部门申请特许猎捕证。</w:t>
            </w:r>
          </w:p>
          <w:p w14:paraId="4326281D">
            <w:pPr>
              <w:widowControl/>
              <w:spacing w:line="230" w:lineRule="exact"/>
              <w:jc w:val="left"/>
              <w:textAlignment w:val="center"/>
              <w:rPr>
                <w:rFonts w:ascii="宋体" w:hAnsi="宋体" w:cs="宋体"/>
                <w:color w:val="000000"/>
                <w:sz w:val="18"/>
                <w:szCs w:val="18"/>
              </w:rPr>
            </w:pPr>
            <w:r>
              <w:rPr>
                <w:rFonts w:hint="eastAsia" w:ascii="宋体" w:hAnsi="宋体" w:cs="宋体"/>
                <w:color w:val="000000"/>
                <w:spacing w:val="-6"/>
                <w:kern w:val="0"/>
                <w:sz w:val="18"/>
                <w:szCs w:val="18"/>
              </w:rPr>
              <w:t>【规范性文件】《辽宁省人民政府关于取消和下放一批行政审批项目的决定》（辽政发〔2014〕30号）捕捞国家重点保护水生野生动物审批下放至市级和昌图、绥中县渔业行政主管部门管理</w:t>
            </w:r>
          </w:p>
        </w:tc>
        <w:tc>
          <w:tcPr>
            <w:tcW w:w="927" w:type="dxa"/>
            <w:tcBorders>
              <w:top w:val="single" w:color="000000" w:sz="4" w:space="0"/>
              <w:left w:val="single" w:color="000000" w:sz="4" w:space="0"/>
              <w:bottom w:val="single" w:color="000000" w:sz="4" w:space="0"/>
              <w:right w:val="single" w:color="000000" w:sz="4" w:space="0"/>
            </w:tcBorders>
            <w:vAlign w:val="center"/>
          </w:tcPr>
          <w:p w14:paraId="3B0CC7A5">
            <w:pPr>
              <w:widowControl/>
              <w:spacing w:line="240" w:lineRule="exact"/>
              <w:jc w:val="center"/>
              <w:textAlignment w:val="center"/>
              <w:rPr>
                <w:rFonts w:ascii="宋体" w:hAnsi="宋体" w:cs="宋体"/>
                <w:color w:val="000000"/>
                <w:kern w:val="0"/>
                <w:sz w:val="18"/>
                <w:szCs w:val="18"/>
              </w:rPr>
            </w:pPr>
            <w:r>
              <w:rPr>
                <w:rFonts w:hint="eastAsia" w:ascii="宋体" w:hAnsi="宋体" w:cs="宋体"/>
                <w:color w:val="000000"/>
                <w:kern w:val="0"/>
                <w:sz w:val="18"/>
                <w:szCs w:val="18"/>
              </w:rPr>
              <w:t>县农业</w:t>
            </w:r>
          </w:p>
          <w:p w14:paraId="534B30F2">
            <w:pPr>
              <w:widowControl/>
              <w:spacing w:line="240" w:lineRule="exact"/>
              <w:jc w:val="center"/>
              <w:textAlignment w:val="center"/>
              <w:rPr>
                <w:rFonts w:ascii="宋体" w:hAnsi="宋体" w:cs="宋体"/>
                <w:color w:val="000000"/>
                <w:sz w:val="18"/>
                <w:szCs w:val="18"/>
              </w:rPr>
            </w:pPr>
            <w:r>
              <w:rPr>
                <w:rFonts w:hint="eastAsia" w:ascii="宋体" w:hAnsi="宋体" w:cs="宋体"/>
                <w:color w:val="000000"/>
                <w:kern w:val="0"/>
                <w:sz w:val="18"/>
                <w:szCs w:val="18"/>
              </w:rPr>
              <w:t>农村局</w:t>
            </w:r>
          </w:p>
        </w:tc>
        <w:tc>
          <w:tcPr>
            <w:tcW w:w="924" w:type="dxa"/>
            <w:tcBorders>
              <w:top w:val="single" w:color="000000" w:sz="4" w:space="0"/>
              <w:left w:val="single" w:color="000000" w:sz="4" w:space="0"/>
              <w:bottom w:val="single" w:color="000000" w:sz="4" w:space="0"/>
              <w:right w:val="single" w:color="000000" w:sz="4" w:space="0"/>
            </w:tcBorders>
            <w:vAlign w:val="center"/>
          </w:tcPr>
          <w:p w14:paraId="667475F5">
            <w:pPr>
              <w:widowControl/>
              <w:spacing w:line="240" w:lineRule="exact"/>
              <w:jc w:val="center"/>
              <w:textAlignment w:val="center"/>
              <w:rPr>
                <w:rFonts w:ascii="宋体" w:hAnsi="宋体" w:cs="宋体"/>
                <w:color w:val="000000"/>
                <w:sz w:val="18"/>
                <w:szCs w:val="18"/>
              </w:rPr>
            </w:pPr>
            <w:r>
              <w:rPr>
                <w:rFonts w:hint="eastAsia" w:ascii="宋体" w:hAnsi="宋体" w:cs="宋体"/>
                <w:color w:val="000000"/>
                <w:kern w:val="0"/>
                <w:sz w:val="18"/>
                <w:szCs w:val="18"/>
              </w:rPr>
              <w:t>承接</w:t>
            </w:r>
          </w:p>
        </w:tc>
        <w:tc>
          <w:tcPr>
            <w:tcW w:w="1020" w:type="dxa"/>
            <w:tcBorders>
              <w:top w:val="single" w:color="000000" w:sz="4" w:space="0"/>
              <w:left w:val="single" w:color="000000" w:sz="4" w:space="0"/>
              <w:bottom w:val="single" w:color="000000" w:sz="4" w:space="0"/>
              <w:right w:val="single" w:color="000000" w:sz="4" w:space="0"/>
            </w:tcBorders>
            <w:vAlign w:val="center"/>
          </w:tcPr>
          <w:p w14:paraId="52FFE400">
            <w:pPr>
              <w:widowControl/>
              <w:spacing w:line="240" w:lineRule="exact"/>
              <w:jc w:val="left"/>
              <w:textAlignment w:val="center"/>
              <w:rPr>
                <w:rFonts w:hint="eastAsia" w:ascii="宋体" w:hAnsi="宋体" w:eastAsia="宋体" w:cs="宋体"/>
                <w:color w:val="000000"/>
                <w:kern w:val="0"/>
                <w:sz w:val="18"/>
                <w:szCs w:val="18"/>
                <w:lang w:eastAsia="zh-CN"/>
              </w:rPr>
            </w:pPr>
            <w:r>
              <w:rPr>
                <w:rFonts w:hint="eastAsia" w:ascii="宋体" w:hAnsi="宋体" w:cs="宋体"/>
                <w:color w:val="000000"/>
                <w:kern w:val="0"/>
                <w:sz w:val="18"/>
                <w:szCs w:val="18"/>
              </w:rPr>
              <w:t>1.加强业务学习。</w:t>
            </w:r>
          </w:p>
          <w:p w14:paraId="6CD07919">
            <w:pPr>
              <w:widowControl/>
              <w:spacing w:line="240" w:lineRule="exact"/>
              <w:jc w:val="left"/>
              <w:textAlignment w:val="center"/>
              <w:rPr>
                <w:rFonts w:ascii="宋体" w:hAnsi="宋体" w:cs="宋体"/>
                <w:color w:val="000000"/>
                <w:sz w:val="18"/>
                <w:szCs w:val="18"/>
              </w:rPr>
            </w:pPr>
            <w:r>
              <w:rPr>
                <w:rFonts w:hint="eastAsia" w:ascii="宋体" w:hAnsi="宋体" w:cs="宋体"/>
                <w:color w:val="000000"/>
                <w:kern w:val="0"/>
                <w:sz w:val="18"/>
                <w:szCs w:val="18"/>
              </w:rPr>
              <w:t>2.建立随机抽查监管机制，对承接事项进行跟踪检查。</w:t>
            </w:r>
          </w:p>
        </w:tc>
        <w:tc>
          <w:tcPr>
            <w:tcW w:w="597" w:type="dxa"/>
            <w:gridSpan w:val="2"/>
            <w:tcBorders>
              <w:top w:val="single" w:color="000000" w:sz="4" w:space="0"/>
              <w:left w:val="single" w:color="000000" w:sz="4" w:space="0"/>
              <w:bottom w:val="single" w:color="000000" w:sz="4" w:space="0"/>
              <w:right w:val="single" w:color="000000" w:sz="4" w:space="0"/>
            </w:tcBorders>
            <w:vAlign w:val="center"/>
          </w:tcPr>
          <w:p w14:paraId="5EF220D0">
            <w:pPr>
              <w:spacing w:line="240" w:lineRule="exact"/>
              <w:jc w:val="left"/>
              <w:rPr>
                <w:rFonts w:ascii="宋体" w:hAnsi="宋体" w:cs="宋体"/>
                <w:color w:val="000000"/>
                <w:sz w:val="18"/>
                <w:szCs w:val="18"/>
              </w:rPr>
            </w:pPr>
          </w:p>
        </w:tc>
      </w:tr>
      <w:tr w14:paraId="1499C1C8">
        <w:tblPrEx>
          <w:tblCellMar>
            <w:top w:w="0" w:type="dxa"/>
            <w:left w:w="108" w:type="dxa"/>
            <w:bottom w:w="0" w:type="dxa"/>
            <w:right w:w="108" w:type="dxa"/>
          </w:tblCellMar>
        </w:tblPrEx>
        <w:trPr>
          <w:trHeight w:val="568" w:hRule="atLeast"/>
          <w:jc w:val="center"/>
        </w:trPr>
        <w:tc>
          <w:tcPr>
            <w:tcW w:w="758" w:type="dxa"/>
            <w:tcBorders>
              <w:top w:val="single" w:color="000000" w:sz="4" w:space="0"/>
              <w:left w:val="single" w:color="000000" w:sz="4" w:space="0"/>
              <w:bottom w:val="single" w:color="000000" w:sz="4" w:space="0"/>
              <w:right w:val="single" w:color="000000" w:sz="4" w:space="0"/>
            </w:tcBorders>
            <w:vAlign w:val="center"/>
          </w:tcPr>
          <w:p w14:paraId="162827FB">
            <w:pPr>
              <w:widowControl/>
              <w:spacing w:line="240" w:lineRule="exact"/>
              <w:jc w:val="center"/>
              <w:textAlignment w:val="center"/>
              <w:rPr>
                <w:rFonts w:ascii="宋体" w:hAnsi="宋体" w:cs="宋体"/>
                <w:color w:val="000000"/>
                <w:sz w:val="18"/>
                <w:szCs w:val="18"/>
              </w:rPr>
            </w:pPr>
            <w:r>
              <w:rPr>
                <w:rFonts w:hint="eastAsia" w:ascii="宋体" w:hAnsi="宋体" w:cs="宋体"/>
                <w:color w:val="000000"/>
                <w:kern w:val="0"/>
                <w:sz w:val="18"/>
                <w:szCs w:val="18"/>
              </w:rPr>
              <w:t>10</w:t>
            </w:r>
          </w:p>
        </w:tc>
        <w:tc>
          <w:tcPr>
            <w:tcW w:w="1147" w:type="dxa"/>
            <w:tcBorders>
              <w:top w:val="single" w:color="000000" w:sz="4" w:space="0"/>
              <w:left w:val="single" w:color="000000" w:sz="4" w:space="0"/>
              <w:bottom w:val="single" w:color="000000" w:sz="4" w:space="0"/>
              <w:right w:val="single" w:color="000000" w:sz="4" w:space="0"/>
            </w:tcBorders>
            <w:vAlign w:val="center"/>
          </w:tcPr>
          <w:p w14:paraId="12672ADF">
            <w:pPr>
              <w:widowControl/>
              <w:spacing w:line="240" w:lineRule="exact"/>
              <w:jc w:val="left"/>
              <w:textAlignment w:val="center"/>
              <w:rPr>
                <w:rFonts w:ascii="宋体" w:hAnsi="宋体" w:cs="宋体"/>
                <w:color w:val="000000"/>
                <w:sz w:val="18"/>
                <w:szCs w:val="18"/>
              </w:rPr>
            </w:pPr>
            <w:r>
              <w:rPr>
                <w:rFonts w:hint="eastAsia" w:ascii="宋体" w:hAnsi="宋体" w:cs="宋体"/>
                <w:color w:val="000000"/>
                <w:kern w:val="0"/>
                <w:sz w:val="18"/>
                <w:szCs w:val="18"/>
              </w:rPr>
              <w:t>农药经营许可</w:t>
            </w:r>
          </w:p>
        </w:tc>
        <w:tc>
          <w:tcPr>
            <w:tcW w:w="998" w:type="dxa"/>
            <w:tcBorders>
              <w:top w:val="single" w:color="000000" w:sz="4" w:space="0"/>
              <w:left w:val="single" w:color="000000" w:sz="4" w:space="0"/>
              <w:bottom w:val="single" w:color="000000" w:sz="4" w:space="0"/>
              <w:right w:val="single" w:color="000000" w:sz="4" w:space="0"/>
            </w:tcBorders>
            <w:vAlign w:val="center"/>
          </w:tcPr>
          <w:p w14:paraId="47439D93">
            <w:pPr>
              <w:spacing w:line="240" w:lineRule="exact"/>
              <w:jc w:val="left"/>
              <w:rPr>
                <w:rFonts w:ascii="宋体" w:hAnsi="宋体" w:cs="宋体"/>
                <w:color w:val="000000"/>
                <w:sz w:val="18"/>
                <w:szCs w:val="18"/>
              </w:rPr>
            </w:pPr>
          </w:p>
        </w:tc>
        <w:tc>
          <w:tcPr>
            <w:tcW w:w="966" w:type="dxa"/>
            <w:tcBorders>
              <w:top w:val="single" w:color="000000" w:sz="4" w:space="0"/>
              <w:left w:val="single" w:color="000000" w:sz="4" w:space="0"/>
              <w:bottom w:val="single" w:color="000000" w:sz="4" w:space="0"/>
              <w:right w:val="single" w:color="000000" w:sz="4" w:space="0"/>
            </w:tcBorders>
            <w:vAlign w:val="center"/>
          </w:tcPr>
          <w:p w14:paraId="5FB981A6">
            <w:pPr>
              <w:widowControl/>
              <w:spacing w:line="240" w:lineRule="exact"/>
              <w:jc w:val="center"/>
              <w:textAlignment w:val="center"/>
              <w:rPr>
                <w:rFonts w:ascii="宋体" w:hAnsi="宋体" w:cs="宋体"/>
                <w:color w:val="000000"/>
                <w:sz w:val="18"/>
                <w:szCs w:val="18"/>
              </w:rPr>
            </w:pPr>
            <w:r>
              <w:rPr>
                <w:rFonts w:hint="eastAsia" w:ascii="宋体" w:hAnsi="宋体" w:cs="宋体"/>
                <w:color w:val="000000"/>
                <w:kern w:val="0"/>
                <w:sz w:val="18"/>
                <w:szCs w:val="18"/>
              </w:rPr>
              <w:t>行政许可</w:t>
            </w:r>
          </w:p>
        </w:tc>
        <w:tc>
          <w:tcPr>
            <w:tcW w:w="2869" w:type="dxa"/>
            <w:tcBorders>
              <w:top w:val="single" w:color="000000" w:sz="4" w:space="0"/>
              <w:left w:val="single" w:color="000000" w:sz="4" w:space="0"/>
              <w:bottom w:val="single" w:color="000000" w:sz="4" w:space="0"/>
              <w:right w:val="single" w:color="000000" w:sz="4" w:space="0"/>
            </w:tcBorders>
            <w:vAlign w:val="center"/>
          </w:tcPr>
          <w:p w14:paraId="7BD4FE81">
            <w:pPr>
              <w:widowControl/>
              <w:spacing w:line="240" w:lineRule="exact"/>
              <w:jc w:val="left"/>
              <w:textAlignment w:val="center"/>
              <w:rPr>
                <w:rFonts w:hint="eastAsia" w:ascii="宋体" w:hAnsi="宋体" w:eastAsia="宋体" w:cs="宋体"/>
                <w:color w:val="000000"/>
                <w:spacing w:val="-6"/>
                <w:kern w:val="0"/>
                <w:sz w:val="18"/>
                <w:szCs w:val="18"/>
                <w:lang w:eastAsia="zh-CN"/>
              </w:rPr>
            </w:pPr>
            <w:r>
              <w:rPr>
                <w:rFonts w:hint="eastAsia" w:ascii="宋体" w:hAnsi="宋体" w:cs="宋体"/>
                <w:color w:val="000000"/>
                <w:kern w:val="0"/>
                <w:sz w:val="18"/>
                <w:szCs w:val="18"/>
              </w:rPr>
              <w:t>【行政法规】《农药管理条例》（1997年5月8日国务院令第216号发布，2017年3月16日予以修改）第二十四条 国家实行农药经营许可制度，但经营卫生用农药的除外。农药经营者应当具备条件，并按照国务院农业主管部门的规定向县级以上地方人民政府农业主管部门申请农药经营许可证：（一）有具备农药和病虫害防治专业知识，熟悉农药管理规定，能够指导安全合理使用农药的经营人员；（二）有与其他商品以及饮用水水源、生活区域等有效隔离的营业场所和仓储场所，并配备与所申请经营农药相适应的防护设施；（三）有与所申请经营农药相适应的质量管理、台账记录、安全防</w:t>
            </w:r>
            <w:r>
              <w:rPr>
                <w:rFonts w:hint="eastAsia" w:ascii="宋体" w:hAnsi="宋体" w:cs="宋体"/>
                <w:color w:val="000000"/>
                <w:spacing w:val="-6"/>
                <w:kern w:val="0"/>
                <w:sz w:val="18"/>
                <w:szCs w:val="18"/>
              </w:rPr>
              <w:t>护、应急处置、仓储管理等制度。经营限制使用农药的，还应当配备相应的用药指导和病虫害防治专业技术人员，并按照所在地省、自治区、直辖市人民政府农业主管部门的规定实行定点经营。县级以上地方人民政府农业主管部门应当自受理申请之日起20个工作日内作出审批决定。符合条件的，核发农药经营许可证；不符合条件的，书面通知申请人并说明理由。</w:t>
            </w:r>
          </w:p>
          <w:p w14:paraId="5292AE42">
            <w:pPr>
              <w:widowControl/>
              <w:spacing w:line="240" w:lineRule="exact"/>
              <w:jc w:val="left"/>
              <w:textAlignment w:val="center"/>
              <w:rPr>
                <w:rFonts w:ascii="宋体" w:hAnsi="宋体" w:cs="宋体"/>
                <w:color w:val="000000"/>
                <w:sz w:val="18"/>
                <w:szCs w:val="18"/>
              </w:rPr>
            </w:pPr>
            <w:r>
              <w:rPr>
                <w:rFonts w:hint="eastAsia" w:ascii="宋体" w:hAnsi="宋体" w:cs="宋体"/>
                <w:color w:val="000000"/>
                <w:spacing w:val="-6"/>
                <w:kern w:val="0"/>
                <w:sz w:val="18"/>
                <w:szCs w:val="18"/>
              </w:rPr>
              <w:t>【规范性文件】《辽宁省人民政府关于取消下放调整一批行政职权事项的决定》（辽政发〔2019〕16号）将此项职权下放至市级农业农村部门依法实施。</w:t>
            </w:r>
          </w:p>
        </w:tc>
        <w:tc>
          <w:tcPr>
            <w:tcW w:w="927" w:type="dxa"/>
            <w:tcBorders>
              <w:top w:val="single" w:color="000000" w:sz="4" w:space="0"/>
              <w:left w:val="single" w:color="000000" w:sz="4" w:space="0"/>
              <w:bottom w:val="single" w:color="000000" w:sz="4" w:space="0"/>
              <w:right w:val="single" w:color="000000" w:sz="4" w:space="0"/>
            </w:tcBorders>
            <w:vAlign w:val="center"/>
          </w:tcPr>
          <w:p w14:paraId="3DEA4E21">
            <w:pPr>
              <w:widowControl/>
              <w:spacing w:line="240" w:lineRule="exact"/>
              <w:jc w:val="center"/>
              <w:textAlignment w:val="center"/>
              <w:rPr>
                <w:rFonts w:ascii="宋体" w:hAnsi="宋体" w:cs="宋体"/>
                <w:color w:val="000000"/>
                <w:kern w:val="0"/>
                <w:sz w:val="18"/>
                <w:szCs w:val="18"/>
              </w:rPr>
            </w:pPr>
            <w:r>
              <w:rPr>
                <w:rFonts w:hint="eastAsia" w:ascii="宋体" w:hAnsi="宋体" w:cs="宋体"/>
                <w:color w:val="000000"/>
                <w:kern w:val="0"/>
                <w:sz w:val="18"/>
                <w:szCs w:val="18"/>
              </w:rPr>
              <w:t>县农业</w:t>
            </w:r>
          </w:p>
          <w:p w14:paraId="1477B70F">
            <w:pPr>
              <w:widowControl/>
              <w:spacing w:line="240" w:lineRule="exact"/>
              <w:jc w:val="center"/>
              <w:textAlignment w:val="center"/>
              <w:rPr>
                <w:rFonts w:ascii="宋体" w:hAnsi="宋体" w:cs="宋体"/>
                <w:color w:val="000000"/>
                <w:sz w:val="18"/>
                <w:szCs w:val="18"/>
              </w:rPr>
            </w:pPr>
            <w:r>
              <w:rPr>
                <w:rFonts w:hint="eastAsia" w:ascii="宋体" w:hAnsi="宋体" w:cs="宋体"/>
                <w:color w:val="000000"/>
                <w:kern w:val="0"/>
                <w:sz w:val="18"/>
                <w:szCs w:val="18"/>
              </w:rPr>
              <w:t>农村局</w:t>
            </w:r>
          </w:p>
        </w:tc>
        <w:tc>
          <w:tcPr>
            <w:tcW w:w="924" w:type="dxa"/>
            <w:tcBorders>
              <w:top w:val="single" w:color="000000" w:sz="4" w:space="0"/>
              <w:left w:val="single" w:color="000000" w:sz="4" w:space="0"/>
              <w:bottom w:val="single" w:color="000000" w:sz="4" w:space="0"/>
              <w:right w:val="single" w:color="000000" w:sz="4" w:space="0"/>
            </w:tcBorders>
            <w:vAlign w:val="center"/>
          </w:tcPr>
          <w:p w14:paraId="39C1670D">
            <w:pPr>
              <w:widowControl/>
              <w:spacing w:line="240" w:lineRule="exact"/>
              <w:jc w:val="center"/>
              <w:textAlignment w:val="center"/>
              <w:rPr>
                <w:rFonts w:ascii="宋体" w:hAnsi="宋体" w:cs="宋体"/>
                <w:color w:val="000000"/>
                <w:sz w:val="18"/>
                <w:szCs w:val="18"/>
              </w:rPr>
            </w:pPr>
            <w:r>
              <w:rPr>
                <w:rFonts w:hint="eastAsia" w:ascii="宋体" w:hAnsi="宋体" w:cs="宋体"/>
                <w:color w:val="000000"/>
                <w:kern w:val="0"/>
                <w:sz w:val="18"/>
                <w:szCs w:val="18"/>
              </w:rPr>
              <w:t>承接（部分）</w:t>
            </w:r>
          </w:p>
        </w:tc>
        <w:tc>
          <w:tcPr>
            <w:tcW w:w="1020" w:type="dxa"/>
            <w:tcBorders>
              <w:top w:val="single" w:color="000000" w:sz="4" w:space="0"/>
              <w:left w:val="single" w:color="000000" w:sz="4" w:space="0"/>
              <w:bottom w:val="single" w:color="000000" w:sz="4" w:space="0"/>
              <w:right w:val="single" w:color="000000" w:sz="4" w:space="0"/>
            </w:tcBorders>
            <w:vAlign w:val="center"/>
          </w:tcPr>
          <w:p w14:paraId="7D4AF2FE">
            <w:pPr>
              <w:widowControl/>
              <w:spacing w:line="240" w:lineRule="exact"/>
              <w:jc w:val="left"/>
              <w:textAlignment w:val="center"/>
              <w:rPr>
                <w:rFonts w:hint="eastAsia" w:ascii="宋体" w:hAnsi="宋体" w:eastAsia="宋体" w:cs="宋体"/>
                <w:color w:val="000000"/>
                <w:kern w:val="0"/>
                <w:sz w:val="18"/>
                <w:szCs w:val="18"/>
                <w:lang w:eastAsia="zh-CN"/>
              </w:rPr>
            </w:pPr>
            <w:r>
              <w:rPr>
                <w:rFonts w:hint="eastAsia" w:ascii="宋体" w:hAnsi="宋体" w:cs="宋体"/>
                <w:color w:val="000000"/>
                <w:kern w:val="0"/>
                <w:sz w:val="18"/>
                <w:szCs w:val="18"/>
              </w:rPr>
              <w:t>1.加强业务学习。</w:t>
            </w:r>
          </w:p>
          <w:p w14:paraId="08BDA2F5">
            <w:pPr>
              <w:widowControl/>
              <w:spacing w:line="240" w:lineRule="exact"/>
              <w:jc w:val="left"/>
              <w:textAlignment w:val="center"/>
              <w:rPr>
                <w:rFonts w:ascii="宋体" w:hAnsi="宋体" w:cs="宋体"/>
                <w:color w:val="000000"/>
                <w:sz w:val="18"/>
                <w:szCs w:val="18"/>
              </w:rPr>
            </w:pPr>
            <w:r>
              <w:rPr>
                <w:rFonts w:hint="eastAsia" w:ascii="宋体" w:hAnsi="宋体" w:cs="宋体"/>
                <w:color w:val="000000"/>
                <w:kern w:val="0"/>
                <w:sz w:val="18"/>
                <w:szCs w:val="18"/>
              </w:rPr>
              <w:t>2.建立随机抽查监管机制，对承接事项进行跟踪检查。</w:t>
            </w:r>
          </w:p>
        </w:tc>
        <w:tc>
          <w:tcPr>
            <w:tcW w:w="597" w:type="dxa"/>
            <w:gridSpan w:val="2"/>
            <w:tcBorders>
              <w:top w:val="single" w:color="000000" w:sz="4" w:space="0"/>
              <w:left w:val="single" w:color="000000" w:sz="4" w:space="0"/>
              <w:bottom w:val="single" w:color="000000" w:sz="4" w:space="0"/>
              <w:right w:val="single" w:color="000000" w:sz="4" w:space="0"/>
            </w:tcBorders>
            <w:vAlign w:val="center"/>
          </w:tcPr>
          <w:p w14:paraId="39D8E5AC">
            <w:pPr>
              <w:widowControl/>
              <w:spacing w:line="240" w:lineRule="exact"/>
              <w:jc w:val="left"/>
              <w:textAlignment w:val="center"/>
              <w:rPr>
                <w:rFonts w:ascii="宋体" w:hAnsi="宋体" w:cs="宋体"/>
                <w:color w:val="000000"/>
                <w:sz w:val="18"/>
                <w:szCs w:val="18"/>
              </w:rPr>
            </w:pPr>
            <w:r>
              <w:rPr>
                <w:rStyle w:val="20"/>
                <w:rFonts w:hint="eastAsia" w:ascii="宋体" w:hAnsi="宋体" w:cs="宋体"/>
                <w:sz w:val="18"/>
                <w:szCs w:val="18"/>
              </w:rPr>
              <w:t>“</w:t>
            </w:r>
            <w:r>
              <w:rPr>
                <w:rFonts w:hint="eastAsia" w:ascii="宋体" w:hAnsi="宋体" w:cs="宋体"/>
                <w:color w:val="000000"/>
                <w:kern w:val="0"/>
                <w:sz w:val="18"/>
                <w:szCs w:val="18"/>
              </w:rPr>
              <w:t>限制使用农药经营许可核发、限制使用农药经营许可延续、限制使用农药经营许可变更”由市农业行政主管部门实施。</w:t>
            </w:r>
          </w:p>
        </w:tc>
      </w:tr>
      <w:tr w14:paraId="6403CE3E">
        <w:tblPrEx>
          <w:tblCellMar>
            <w:top w:w="0" w:type="dxa"/>
            <w:left w:w="108" w:type="dxa"/>
            <w:bottom w:w="0" w:type="dxa"/>
            <w:right w:w="108" w:type="dxa"/>
          </w:tblCellMar>
        </w:tblPrEx>
        <w:trPr>
          <w:trHeight w:val="90" w:hRule="atLeast"/>
          <w:jc w:val="center"/>
        </w:trPr>
        <w:tc>
          <w:tcPr>
            <w:tcW w:w="758" w:type="dxa"/>
            <w:tcBorders>
              <w:top w:val="single" w:color="000000" w:sz="4" w:space="0"/>
              <w:left w:val="single" w:color="000000" w:sz="4" w:space="0"/>
              <w:bottom w:val="single" w:color="000000" w:sz="4" w:space="0"/>
              <w:right w:val="single" w:color="000000" w:sz="4" w:space="0"/>
            </w:tcBorders>
            <w:vAlign w:val="center"/>
          </w:tcPr>
          <w:p w14:paraId="6EDD7BC3">
            <w:pPr>
              <w:widowControl/>
              <w:spacing w:line="240" w:lineRule="exact"/>
              <w:jc w:val="center"/>
              <w:textAlignment w:val="center"/>
              <w:rPr>
                <w:rFonts w:ascii="宋体" w:hAnsi="宋体" w:cs="宋体"/>
                <w:color w:val="000000"/>
                <w:sz w:val="18"/>
                <w:szCs w:val="18"/>
              </w:rPr>
            </w:pPr>
            <w:r>
              <w:rPr>
                <w:rFonts w:hint="eastAsia" w:ascii="宋体" w:hAnsi="宋体" w:cs="宋体"/>
                <w:color w:val="000000"/>
                <w:kern w:val="0"/>
                <w:sz w:val="18"/>
                <w:szCs w:val="18"/>
              </w:rPr>
              <w:t>11</w:t>
            </w:r>
          </w:p>
        </w:tc>
        <w:tc>
          <w:tcPr>
            <w:tcW w:w="1147" w:type="dxa"/>
            <w:tcBorders>
              <w:top w:val="single" w:color="000000" w:sz="4" w:space="0"/>
              <w:left w:val="single" w:color="000000" w:sz="4" w:space="0"/>
              <w:bottom w:val="single" w:color="000000" w:sz="4" w:space="0"/>
              <w:right w:val="single" w:color="000000" w:sz="4" w:space="0"/>
            </w:tcBorders>
            <w:vAlign w:val="center"/>
          </w:tcPr>
          <w:p w14:paraId="1E1EE3F4">
            <w:pPr>
              <w:widowControl/>
              <w:spacing w:line="240" w:lineRule="exact"/>
              <w:jc w:val="left"/>
              <w:textAlignment w:val="center"/>
              <w:rPr>
                <w:rFonts w:ascii="宋体" w:hAnsi="宋体" w:cs="宋体"/>
                <w:color w:val="000000"/>
                <w:sz w:val="18"/>
                <w:szCs w:val="18"/>
              </w:rPr>
            </w:pPr>
            <w:r>
              <w:rPr>
                <w:rFonts w:hint="eastAsia" w:ascii="宋体" w:hAnsi="宋体" w:cs="宋体"/>
                <w:color w:val="000000"/>
                <w:kern w:val="0"/>
                <w:sz w:val="18"/>
                <w:szCs w:val="18"/>
              </w:rPr>
              <w:t>畜禽屠宰许可证核发</w:t>
            </w:r>
          </w:p>
        </w:tc>
        <w:tc>
          <w:tcPr>
            <w:tcW w:w="998" w:type="dxa"/>
            <w:tcBorders>
              <w:top w:val="single" w:color="000000" w:sz="4" w:space="0"/>
              <w:left w:val="single" w:color="000000" w:sz="4" w:space="0"/>
              <w:bottom w:val="single" w:color="000000" w:sz="4" w:space="0"/>
              <w:right w:val="single" w:color="000000" w:sz="4" w:space="0"/>
            </w:tcBorders>
            <w:vAlign w:val="center"/>
          </w:tcPr>
          <w:p w14:paraId="08310F3E">
            <w:pPr>
              <w:widowControl/>
              <w:spacing w:line="240" w:lineRule="exact"/>
              <w:jc w:val="left"/>
              <w:textAlignment w:val="center"/>
              <w:rPr>
                <w:rFonts w:ascii="宋体" w:hAnsi="宋体" w:cs="宋体"/>
                <w:color w:val="000000"/>
                <w:sz w:val="18"/>
                <w:szCs w:val="18"/>
              </w:rPr>
            </w:pPr>
            <w:r>
              <w:rPr>
                <w:rFonts w:hint="eastAsia" w:ascii="宋体" w:hAnsi="宋体" w:cs="宋体"/>
                <w:color w:val="000000"/>
                <w:kern w:val="0"/>
                <w:sz w:val="18"/>
                <w:szCs w:val="18"/>
              </w:rPr>
              <w:t>1.小型畜禽定点屠宰点竣工验收申请。</w:t>
            </w:r>
          </w:p>
        </w:tc>
        <w:tc>
          <w:tcPr>
            <w:tcW w:w="966" w:type="dxa"/>
            <w:tcBorders>
              <w:top w:val="single" w:color="000000" w:sz="4" w:space="0"/>
              <w:left w:val="single" w:color="000000" w:sz="4" w:space="0"/>
              <w:bottom w:val="single" w:color="000000" w:sz="4" w:space="0"/>
              <w:right w:val="single" w:color="000000" w:sz="4" w:space="0"/>
            </w:tcBorders>
            <w:vAlign w:val="center"/>
          </w:tcPr>
          <w:p w14:paraId="26F29DE9">
            <w:pPr>
              <w:widowControl/>
              <w:spacing w:line="240" w:lineRule="exact"/>
              <w:jc w:val="center"/>
              <w:textAlignment w:val="center"/>
              <w:rPr>
                <w:rFonts w:ascii="宋体" w:hAnsi="宋体" w:cs="宋体"/>
                <w:color w:val="000000"/>
                <w:sz w:val="18"/>
                <w:szCs w:val="18"/>
              </w:rPr>
            </w:pPr>
            <w:r>
              <w:rPr>
                <w:rFonts w:hint="eastAsia" w:ascii="宋体" w:hAnsi="宋体" w:cs="宋体"/>
                <w:color w:val="000000"/>
                <w:kern w:val="0"/>
                <w:sz w:val="18"/>
                <w:szCs w:val="18"/>
              </w:rPr>
              <w:t>行政许可</w:t>
            </w:r>
          </w:p>
        </w:tc>
        <w:tc>
          <w:tcPr>
            <w:tcW w:w="2869" w:type="dxa"/>
            <w:tcBorders>
              <w:top w:val="single" w:color="000000" w:sz="4" w:space="0"/>
              <w:left w:val="single" w:color="000000" w:sz="4" w:space="0"/>
              <w:bottom w:val="single" w:color="000000" w:sz="4" w:space="0"/>
              <w:right w:val="single" w:color="000000" w:sz="4" w:space="0"/>
            </w:tcBorders>
            <w:vAlign w:val="center"/>
          </w:tcPr>
          <w:p w14:paraId="2FC25FC4">
            <w:pPr>
              <w:widowControl/>
              <w:spacing w:line="240" w:lineRule="exact"/>
              <w:jc w:val="left"/>
              <w:textAlignment w:val="center"/>
              <w:rPr>
                <w:rFonts w:hint="eastAsia" w:ascii="宋体" w:hAnsi="宋体" w:eastAsia="宋体" w:cs="宋体"/>
                <w:color w:val="000000"/>
                <w:kern w:val="0"/>
                <w:sz w:val="18"/>
                <w:szCs w:val="18"/>
                <w:lang w:eastAsia="zh-CN"/>
              </w:rPr>
            </w:pPr>
            <w:r>
              <w:rPr>
                <w:rFonts w:hint="eastAsia" w:ascii="宋体" w:hAnsi="宋体" w:cs="宋体"/>
                <w:color w:val="000000"/>
                <w:kern w:val="0"/>
                <w:sz w:val="18"/>
                <w:szCs w:val="18"/>
              </w:rPr>
              <w:t>【地方性法规】《辽宁省畜禽屠宰管理条例》（2009年11月27日辽宁省第十一届人民代表大会常务委员会第13次会议通过，根据2017年7月27日辽宁省第十二届人民代表大会常务委员会第三十五次会议第二次修正）</w:t>
            </w:r>
          </w:p>
          <w:p w14:paraId="42ABAD33">
            <w:pPr>
              <w:widowControl/>
              <w:spacing w:line="240" w:lineRule="exact"/>
              <w:jc w:val="left"/>
              <w:textAlignment w:val="center"/>
              <w:rPr>
                <w:rFonts w:ascii="宋体" w:hAnsi="宋体" w:cs="宋体"/>
                <w:color w:val="000000"/>
                <w:sz w:val="18"/>
                <w:szCs w:val="18"/>
              </w:rPr>
            </w:pPr>
            <w:r>
              <w:rPr>
                <w:rFonts w:hint="eastAsia" w:ascii="宋体" w:hAnsi="宋体" w:cs="宋体"/>
                <w:color w:val="000000"/>
                <w:spacing w:val="-6"/>
                <w:kern w:val="0"/>
                <w:sz w:val="18"/>
                <w:szCs w:val="18"/>
              </w:rPr>
              <w:t>第十二条 申请设立（包括新建、改建、扩建）畜禽定点屠宰厂，应当向市畜牧兽医行政主管部门提出书面申请，并提交建设项目规划选址意见书和环境影响评价的批准文件。市人民政府应当依照行政许可法规定的审批期限，组织畜牧兽医、环保、建设等部门，依照本条例和畜禽定点屠宰厂设置方案进行审查，并征求省畜牧兽医行政主管部门的意见。经审查符合条件的，作出同意建设畜禽定点屠宰厂的书面决定；不符合条件的，应当通知申请人并说明理由。</w:t>
            </w:r>
          </w:p>
        </w:tc>
        <w:tc>
          <w:tcPr>
            <w:tcW w:w="927" w:type="dxa"/>
            <w:tcBorders>
              <w:top w:val="single" w:color="000000" w:sz="4" w:space="0"/>
              <w:left w:val="single" w:color="000000" w:sz="4" w:space="0"/>
              <w:bottom w:val="single" w:color="000000" w:sz="4" w:space="0"/>
              <w:right w:val="single" w:color="000000" w:sz="4" w:space="0"/>
            </w:tcBorders>
            <w:vAlign w:val="center"/>
          </w:tcPr>
          <w:p w14:paraId="5CB2D0B4">
            <w:pPr>
              <w:widowControl/>
              <w:spacing w:line="240" w:lineRule="exact"/>
              <w:jc w:val="center"/>
              <w:textAlignment w:val="center"/>
              <w:rPr>
                <w:rFonts w:ascii="宋体" w:hAnsi="宋体" w:cs="宋体"/>
                <w:color w:val="000000"/>
                <w:kern w:val="0"/>
                <w:sz w:val="18"/>
                <w:szCs w:val="18"/>
              </w:rPr>
            </w:pPr>
            <w:r>
              <w:rPr>
                <w:rFonts w:hint="eastAsia" w:ascii="宋体" w:hAnsi="宋体" w:cs="宋体"/>
                <w:color w:val="000000"/>
                <w:kern w:val="0"/>
                <w:sz w:val="18"/>
                <w:szCs w:val="18"/>
              </w:rPr>
              <w:t>县农业</w:t>
            </w:r>
          </w:p>
          <w:p w14:paraId="07863F9C">
            <w:pPr>
              <w:widowControl/>
              <w:spacing w:line="240" w:lineRule="exact"/>
              <w:jc w:val="center"/>
              <w:textAlignment w:val="center"/>
              <w:rPr>
                <w:rFonts w:ascii="宋体" w:hAnsi="宋体" w:cs="宋体"/>
                <w:color w:val="000000"/>
                <w:sz w:val="18"/>
                <w:szCs w:val="18"/>
              </w:rPr>
            </w:pPr>
            <w:r>
              <w:rPr>
                <w:rFonts w:hint="eastAsia" w:ascii="宋体" w:hAnsi="宋体" w:cs="宋体"/>
                <w:color w:val="000000"/>
                <w:kern w:val="0"/>
                <w:sz w:val="18"/>
                <w:szCs w:val="18"/>
              </w:rPr>
              <w:t>农村局</w:t>
            </w:r>
          </w:p>
        </w:tc>
        <w:tc>
          <w:tcPr>
            <w:tcW w:w="924" w:type="dxa"/>
            <w:tcBorders>
              <w:top w:val="single" w:color="000000" w:sz="4" w:space="0"/>
              <w:left w:val="single" w:color="000000" w:sz="4" w:space="0"/>
              <w:bottom w:val="single" w:color="000000" w:sz="4" w:space="0"/>
              <w:right w:val="single" w:color="000000" w:sz="4" w:space="0"/>
            </w:tcBorders>
            <w:vAlign w:val="center"/>
          </w:tcPr>
          <w:p w14:paraId="633716A0">
            <w:pPr>
              <w:widowControl/>
              <w:spacing w:line="240" w:lineRule="exact"/>
              <w:jc w:val="center"/>
              <w:textAlignment w:val="center"/>
              <w:rPr>
                <w:rFonts w:ascii="宋体" w:hAnsi="宋体" w:cs="宋体"/>
                <w:color w:val="000000"/>
                <w:sz w:val="18"/>
                <w:szCs w:val="18"/>
              </w:rPr>
            </w:pPr>
            <w:r>
              <w:rPr>
                <w:rFonts w:hint="eastAsia" w:ascii="宋体" w:hAnsi="宋体" w:cs="宋体"/>
                <w:color w:val="000000"/>
                <w:kern w:val="0"/>
                <w:sz w:val="18"/>
                <w:szCs w:val="18"/>
              </w:rPr>
              <w:t>承接</w:t>
            </w:r>
          </w:p>
        </w:tc>
        <w:tc>
          <w:tcPr>
            <w:tcW w:w="1020" w:type="dxa"/>
            <w:tcBorders>
              <w:top w:val="single" w:color="000000" w:sz="4" w:space="0"/>
              <w:left w:val="single" w:color="000000" w:sz="4" w:space="0"/>
              <w:bottom w:val="single" w:color="000000" w:sz="4" w:space="0"/>
              <w:right w:val="single" w:color="000000" w:sz="4" w:space="0"/>
            </w:tcBorders>
            <w:vAlign w:val="center"/>
          </w:tcPr>
          <w:p w14:paraId="14435E52">
            <w:pPr>
              <w:widowControl/>
              <w:spacing w:line="240" w:lineRule="exact"/>
              <w:jc w:val="left"/>
              <w:textAlignment w:val="center"/>
              <w:rPr>
                <w:rFonts w:hint="eastAsia" w:ascii="宋体" w:hAnsi="宋体" w:eastAsia="宋体" w:cs="宋体"/>
                <w:color w:val="000000"/>
                <w:kern w:val="0"/>
                <w:sz w:val="18"/>
                <w:szCs w:val="18"/>
                <w:lang w:eastAsia="zh-CN"/>
              </w:rPr>
            </w:pPr>
            <w:r>
              <w:rPr>
                <w:rFonts w:hint="eastAsia" w:ascii="宋体" w:hAnsi="宋体" w:cs="宋体"/>
                <w:color w:val="000000"/>
                <w:kern w:val="0"/>
                <w:sz w:val="18"/>
                <w:szCs w:val="18"/>
              </w:rPr>
              <w:t>1.加强业务学习。</w:t>
            </w:r>
          </w:p>
          <w:p w14:paraId="0B40F616">
            <w:pPr>
              <w:widowControl/>
              <w:spacing w:line="240" w:lineRule="exact"/>
              <w:jc w:val="left"/>
              <w:textAlignment w:val="center"/>
              <w:rPr>
                <w:rFonts w:ascii="宋体" w:hAnsi="宋体" w:cs="宋体"/>
                <w:color w:val="000000"/>
                <w:sz w:val="18"/>
                <w:szCs w:val="18"/>
              </w:rPr>
            </w:pPr>
            <w:r>
              <w:rPr>
                <w:rFonts w:hint="eastAsia" w:ascii="宋体" w:hAnsi="宋体" w:cs="宋体"/>
                <w:color w:val="000000"/>
                <w:kern w:val="0"/>
                <w:sz w:val="18"/>
                <w:szCs w:val="18"/>
              </w:rPr>
              <w:t>2.建立随机抽查监管机制，对承接事项进行跟踪检查。</w:t>
            </w:r>
          </w:p>
        </w:tc>
        <w:tc>
          <w:tcPr>
            <w:tcW w:w="597" w:type="dxa"/>
            <w:gridSpan w:val="2"/>
            <w:tcBorders>
              <w:top w:val="single" w:color="000000" w:sz="4" w:space="0"/>
              <w:left w:val="single" w:color="000000" w:sz="4" w:space="0"/>
              <w:bottom w:val="single" w:color="000000" w:sz="4" w:space="0"/>
              <w:right w:val="single" w:color="000000" w:sz="4" w:space="0"/>
            </w:tcBorders>
            <w:vAlign w:val="center"/>
          </w:tcPr>
          <w:p w14:paraId="3D5CF707">
            <w:pPr>
              <w:spacing w:line="240" w:lineRule="exact"/>
              <w:jc w:val="left"/>
              <w:rPr>
                <w:rFonts w:ascii="宋体" w:hAnsi="宋体" w:cs="宋体"/>
                <w:color w:val="000000"/>
                <w:sz w:val="18"/>
                <w:szCs w:val="18"/>
              </w:rPr>
            </w:pPr>
          </w:p>
        </w:tc>
      </w:tr>
      <w:tr w14:paraId="29432C60">
        <w:tblPrEx>
          <w:tblCellMar>
            <w:top w:w="0" w:type="dxa"/>
            <w:left w:w="108" w:type="dxa"/>
            <w:bottom w:w="0" w:type="dxa"/>
            <w:right w:w="108" w:type="dxa"/>
          </w:tblCellMar>
        </w:tblPrEx>
        <w:trPr>
          <w:trHeight w:val="3485" w:hRule="atLeast"/>
          <w:jc w:val="center"/>
        </w:trPr>
        <w:tc>
          <w:tcPr>
            <w:tcW w:w="758" w:type="dxa"/>
            <w:tcBorders>
              <w:top w:val="single" w:color="000000" w:sz="4" w:space="0"/>
              <w:left w:val="single" w:color="000000" w:sz="4" w:space="0"/>
              <w:bottom w:val="single" w:color="000000" w:sz="4" w:space="0"/>
              <w:right w:val="single" w:color="000000" w:sz="4" w:space="0"/>
            </w:tcBorders>
            <w:vAlign w:val="center"/>
          </w:tcPr>
          <w:p w14:paraId="327A0713">
            <w:pPr>
              <w:widowControl/>
              <w:spacing w:line="240" w:lineRule="exact"/>
              <w:jc w:val="center"/>
              <w:textAlignment w:val="center"/>
              <w:rPr>
                <w:rFonts w:ascii="宋体" w:hAnsi="宋体" w:cs="宋体"/>
                <w:color w:val="000000"/>
                <w:sz w:val="18"/>
                <w:szCs w:val="18"/>
              </w:rPr>
            </w:pPr>
            <w:r>
              <w:rPr>
                <w:rFonts w:hint="eastAsia" w:ascii="宋体" w:hAnsi="宋体" w:cs="宋体"/>
                <w:color w:val="000000"/>
                <w:kern w:val="0"/>
                <w:sz w:val="18"/>
                <w:szCs w:val="18"/>
              </w:rPr>
              <w:t>11</w:t>
            </w:r>
          </w:p>
        </w:tc>
        <w:tc>
          <w:tcPr>
            <w:tcW w:w="1147" w:type="dxa"/>
            <w:tcBorders>
              <w:top w:val="single" w:color="000000" w:sz="4" w:space="0"/>
              <w:left w:val="single" w:color="000000" w:sz="4" w:space="0"/>
              <w:bottom w:val="single" w:color="000000" w:sz="4" w:space="0"/>
              <w:right w:val="single" w:color="000000" w:sz="4" w:space="0"/>
            </w:tcBorders>
            <w:vAlign w:val="center"/>
          </w:tcPr>
          <w:p w14:paraId="27A084FC">
            <w:pPr>
              <w:widowControl/>
              <w:spacing w:line="240" w:lineRule="exact"/>
              <w:jc w:val="left"/>
              <w:textAlignment w:val="center"/>
              <w:rPr>
                <w:rFonts w:ascii="宋体" w:hAnsi="宋体" w:cs="宋体"/>
                <w:color w:val="000000"/>
                <w:sz w:val="18"/>
                <w:szCs w:val="18"/>
              </w:rPr>
            </w:pPr>
            <w:r>
              <w:rPr>
                <w:rFonts w:hint="eastAsia" w:ascii="宋体" w:hAnsi="宋体" w:cs="宋体"/>
                <w:color w:val="000000"/>
                <w:kern w:val="0"/>
                <w:sz w:val="18"/>
                <w:szCs w:val="18"/>
              </w:rPr>
              <w:t>畜禽屠宰许可证核发</w:t>
            </w:r>
          </w:p>
        </w:tc>
        <w:tc>
          <w:tcPr>
            <w:tcW w:w="998" w:type="dxa"/>
            <w:tcBorders>
              <w:top w:val="single" w:color="000000" w:sz="4" w:space="0"/>
              <w:left w:val="single" w:color="000000" w:sz="4" w:space="0"/>
              <w:bottom w:val="single" w:color="000000" w:sz="4" w:space="0"/>
              <w:right w:val="single" w:color="000000" w:sz="4" w:space="0"/>
            </w:tcBorders>
            <w:vAlign w:val="center"/>
          </w:tcPr>
          <w:p w14:paraId="5BB0A4AA">
            <w:pPr>
              <w:widowControl/>
              <w:spacing w:line="240" w:lineRule="exact"/>
              <w:jc w:val="left"/>
              <w:textAlignment w:val="center"/>
              <w:rPr>
                <w:rFonts w:hint="eastAsia" w:ascii="宋体" w:hAnsi="宋体" w:eastAsia="宋体" w:cs="宋体"/>
                <w:color w:val="000000"/>
                <w:kern w:val="0"/>
                <w:sz w:val="18"/>
                <w:szCs w:val="18"/>
                <w:lang w:eastAsia="zh-CN"/>
              </w:rPr>
            </w:pPr>
          </w:p>
          <w:p w14:paraId="6C29515B">
            <w:pPr>
              <w:widowControl/>
              <w:spacing w:line="240" w:lineRule="exact"/>
              <w:jc w:val="left"/>
              <w:textAlignment w:val="center"/>
              <w:rPr>
                <w:rFonts w:ascii="宋体" w:hAnsi="宋体" w:cs="宋体"/>
                <w:color w:val="000000"/>
                <w:sz w:val="18"/>
                <w:szCs w:val="18"/>
              </w:rPr>
            </w:pPr>
            <w:r>
              <w:rPr>
                <w:rFonts w:hint="eastAsia" w:ascii="宋体" w:hAnsi="宋体" w:cs="宋体"/>
                <w:color w:val="000000"/>
                <w:kern w:val="0"/>
                <w:sz w:val="18"/>
                <w:szCs w:val="18"/>
              </w:rPr>
              <w:t>2.申请设立小型畜禽定点屠宰点。</w:t>
            </w:r>
          </w:p>
        </w:tc>
        <w:tc>
          <w:tcPr>
            <w:tcW w:w="966" w:type="dxa"/>
            <w:tcBorders>
              <w:top w:val="single" w:color="000000" w:sz="4" w:space="0"/>
              <w:left w:val="single" w:color="000000" w:sz="4" w:space="0"/>
              <w:bottom w:val="single" w:color="000000" w:sz="4" w:space="0"/>
              <w:right w:val="single" w:color="000000" w:sz="4" w:space="0"/>
            </w:tcBorders>
            <w:vAlign w:val="center"/>
          </w:tcPr>
          <w:p w14:paraId="78517A1D">
            <w:pPr>
              <w:widowControl/>
              <w:spacing w:line="240" w:lineRule="exact"/>
              <w:jc w:val="center"/>
              <w:textAlignment w:val="center"/>
              <w:rPr>
                <w:rFonts w:ascii="宋体" w:hAnsi="宋体" w:cs="宋体"/>
                <w:color w:val="000000"/>
                <w:sz w:val="18"/>
                <w:szCs w:val="18"/>
              </w:rPr>
            </w:pPr>
            <w:r>
              <w:rPr>
                <w:rFonts w:hint="eastAsia" w:ascii="宋体" w:hAnsi="宋体" w:cs="宋体"/>
                <w:color w:val="000000"/>
                <w:kern w:val="0"/>
                <w:sz w:val="18"/>
                <w:szCs w:val="18"/>
              </w:rPr>
              <w:t>行政许可</w:t>
            </w:r>
          </w:p>
        </w:tc>
        <w:tc>
          <w:tcPr>
            <w:tcW w:w="2869" w:type="dxa"/>
            <w:tcBorders>
              <w:top w:val="single" w:color="000000" w:sz="4" w:space="0"/>
              <w:left w:val="single" w:color="000000" w:sz="4" w:space="0"/>
              <w:bottom w:val="single" w:color="000000" w:sz="4" w:space="0"/>
              <w:right w:val="single" w:color="000000" w:sz="4" w:space="0"/>
            </w:tcBorders>
            <w:vAlign w:val="center"/>
          </w:tcPr>
          <w:p w14:paraId="31DFA001">
            <w:pPr>
              <w:widowControl/>
              <w:spacing w:line="240" w:lineRule="exact"/>
              <w:jc w:val="left"/>
              <w:textAlignment w:val="center"/>
              <w:rPr>
                <w:rFonts w:hint="eastAsia" w:ascii="宋体" w:hAnsi="宋体" w:eastAsia="宋体" w:cs="宋体"/>
                <w:color w:val="000000"/>
                <w:kern w:val="0"/>
                <w:sz w:val="18"/>
                <w:szCs w:val="18"/>
                <w:lang w:eastAsia="zh-CN"/>
              </w:rPr>
            </w:pPr>
            <w:r>
              <w:rPr>
                <w:rFonts w:hint="eastAsia" w:ascii="宋体" w:hAnsi="宋体" w:cs="宋体"/>
                <w:color w:val="000000"/>
                <w:kern w:val="0"/>
                <w:sz w:val="18"/>
                <w:szCs w:val="18"/>
              </w:rPr>
              <w:t>【地方性法规】《辽宁省畜禽屠宰管理条例》（2009年11月27日辽宁省第十一届人民代表大会常务委员会第13次会议通过，根据2017年7月27日辽宁省第十二届人民代表大会常务委员会第三十五次会议第二次修正）</w:t>
            </w:r>
          </w:p>
          <w:p w14:paraId="3D8EBEC0">
            <w:pPr>
              <w:widowControl/>
              <w:spacing w:line="240" w:lineRule="exact"/>
              <w:jc w:val="left"/>
              <w:textAlignment w:val="center"/>
              <w:rPr>
                <w:rFonts w:ascii="宋体" w:hAnsi="宋体" w:cs="宋体"/>
                <w:color w:val="000000"/>
                <w:sz w:val="18"/>
                <w:szCs w:val="18"/>
              </w:rPr>
            </w:pPr>
            <w:r>
              <w:rPr>
                <w:rFonts w:hint="eastAsia" w:ascii="宋体" w:hAnsi="宋体" w:cs="宋体"/>
                <w:color w:val="000000"/>
                <w:spacing w:val="-6"/>
                <w:kern w:val="0"/>
                <w:sz w:val="18"/>
                <w:szCs w:val="18"/>
              </w:rPr>
              <w:t>第十二条 申请设立（包括新建、改建、扩建）畜禽定点屠宰厂，应当向市畜牧兽医行政主管部门提出书面申请，并提交建设项目规划选址意见书和环境影响评价的批准文件。市人民政府应当依照行政许可法规定的审批期限，组织畜牧兽医、环保、建设等部门，依照本条例和畜禽定点屠宰厂设置方案进行审查，并征求省畜牧兽医行政主管部门的意见。经审查符合条件的，作出同意建设畜禽定点屠宰厂的书面决定；不符合条件的，应当通知申请人并说明理由。</w:t>
            </w:r>
          </w:p>
        </w:tc>
        <w:tc>
          <w:tcPr>
            <w:tcW w:w="927" w:type="dxa"/>
            <w:tcBorders>
              <w:top w:val="single" w:color="000000" w:sz="4" w:space="0"/>
              <w:left w:val="single" w:color="000000" w:sz="4" w:space="0"/>
              <w:bottom w:val="single" w:color="000000" w:sz="4" w:space="0"/>
              <w:right w:val="single" w:color="000000" w:sz="4" w:space="0"/>
            </w:tcBorders>
            <w:vAlign w:val="center"/>
          </w:tcPr>
          <w:p w14:paraId="31C27D44">
            <w:pPr>
              <w:widowControl/>
              <w:spacing w:line="240" w:lineRule="exact"/>
              <w:jc w:val="center"/>
              <w:textAlignment w:val="center"/>
              <w:rPr>
                <w:rFonts w:ascii="宋体" w:hAnsi="宋体" w:cs="宋体"/>
                <w:color w:val="000000"/>
                <w:kern w:val="0"/>
                <w:sz w:val="18"/>
                <w:szCs w:val="18"/>
              </w:rPr>
            </w:pPr>
            <w:r>
              <w:rPr>
                <w:rFonts w:hint="eastAsia" w:ascii="宋体" w:hAnsi="宋体" w:cs="宋体"/>
                <w:color w:val="000000"/>
                <w:kern w:val="0"/>
                <w:sz w:val="18"/>
                <w:szCs w:val="18"/>
              </w:rPr>
              <w:t>县农业</w:t>
            </w:r>
          </w:p>
          <w:p w14:paraId="40572494">
            <w:pPr>
              <w:widowControl/>
              <w:spacing w:line="240" w:lineRule="exact"/>
              <w:jc w:val="center"/>
              <w:textAlignment w:val="center"/>
              <w:rPr>
                <w:rFonts w:ascii="宋体" w:hAnsi="宋体" w:cs="宋体"/>
                <w:color w:val="000000"/>
                <w:sz w:val="18"/>
                <w:szCs w:val="18"/>
              </w:rPr>
            </w:pPr>
            <w:r>
              <w:rPr>
                <w:rFonts w:hint="eastAsia" w:ascii="宋体" w:hAnsi="宋体" w:cs="宋体"/>
                <w:color w:val="000000"/>
                <w:kern w:val="0"/>
                <w:sz w:val="18"/>
                <w:szCs w:val="18"/>
              </w:rPr>
              <w:t>农村局</w:t>
            </w:r>
          </w:p>
        </w:tc>
        <w:tc>
          <w:tcPr>
            <w:tcW w:w="924" w:type="dxa"/>
            <w:tcBorders>
              <w:top w:val="single" w:color="000000" w:sz="4" w:space="0"/>
              <w:left w:val="single" w:color="000000" w:sz="4" w:space="0"/>
              <w:bottom w:val="single" w:color="000000" w:sz="4" w:space="0"/>
              <w:right w:val="single" w:color="000000" w:sz="4" w:space="0"/>
            </w:tcBorders>
            <w:vAlign w:val="center"/>
          </w:tcPr>
          <w:p w14:paraId="5231290C">
            <w:pPr>
              <w:widowControl/>
              <w:spacing w:line="240" w:lineRule="exact"/>
              <w:jc w:val="center"/>
              <w:textAlignment w:val="center"/>
              <w:rPr>
                <w:rFonts w:ascii="宋体" w:hAnsi="宋体" w:cs="宋体"/>
                <w:color w:val="000000"/>
                <w:sz w:val="18"/>
                <w:szCs w:val="18"/>
              </w:rPr>
            </w:pPr>
            <w:r>
              <w:rPr>
                <w:rFonts w:hint="eastAsia" w:ascii="宋体" w:hAnsi="宋体" w:cs="宋体"/>
                <w:color w:val="000000"/>
                <w:kern w:val="0"/>
                <w:sz w:val="18"/>
                <w:szCs w:val="18"/>
              </w:rPr>
              <w:t>承接</w:t>
            </w:r>
          </w:p>
        </w:tc>
        <w:tc>
          <w:tcPr>
            <w:tcW w:w="1020" w:type="dxa"/>
            <w:tcBorders>
              <w:top w:val="single" w:color="000000" w:sz="4" w:space="0"/>
              <w:left w:val="single" w:color="000000" w:sz="4" w:space="0"/>
              <w:bottom w:val="single" w:color="000000" w:sz="4" w:space="0"/>
              <w:right w:val="single" w:color="000000" w:sz="4" w:space="0"/>
            </w:tcBorders>
            <w:vAlign w:val="center"/>
          </w:tcPr>
          <w:p w14:paraId="59A55874">
            <w:pPr>
              <w:widowControl/>
              <w:spacing w:line="240" w:lineRule="exact"/>
              <w:jc w:val="left"/>
              <w:textAlignment w:val="center"/>
              <w:rPr>
                <w:rFonts w:hint="eastAsia" w:ascii="宋体" w:hAnsi="宋体" w:eastAsia="宋体" w:cs="宋体"/>
                <w:color w:val="000000"/>
                <w:kern w:val="0"/>
                <w:sz w:val="18"/>
                <w:szCs w:val="18"/>
                <w:lang w:eastAsia="zh-CN"/>
              </w:rPr>
            </w:pPr>
            <w:r>
              <w:rPr>
                <w:rFonts w:hint="eastAsia" w:ascii="宋体" w:hAnsi="宋体" w:cs="宋体"/>
                <w:color w:val="000000"/>
                <w:kern w:val="0"/>
                <w:sz w:val="18"/>
                <w:szCs w:val="18"/>
              </w:rPr>
              <w:t>1.加强业务学习。</w:t>
            </w:r>
          </w:p>
          <w:p w14:paraId="2BC3F551">
            <w:pPr>
              <w:widowControl/>
              <w:spacing w:line="240" w:lineRule="exact"/>
              <w:jc w:val="left"/>
              <w:textAlignment w:val="center"/>
              <w:rPr>
                <w:rFonts w:ascii="宋体" w:hAnsi="宋体" w:cs="宋体"/>
                <w:color w:val="000000"/>
                <w:sz w:val="18"/>
                <w:szCs w:val="18"/>
              </w:rPr>
            </w:pPr>
            <w:r>
              <w:rPr>
                <w:rFonts w:hint="eastAsia" w:ascii="宋体" w:hAnsi="宋体" w:cs="宋体"/>
                <w:color w:val="000000"/>
                <w:kern w:val="0"/>
                <w:sz w:val="18"/>
                <w:szCs w:val="18"/>
              </w:rPr>
              <w:t>2.建立随机抽查监管机制，对承接事项进行跟踪检查。</w:t>
            </w:r>
          </w:p>
        </w:tc>
        <w:tc>
          <w:tcPr>
            <w:tcW w:w="597" w:type="dxa"/>
            <w:gridSpan w:val="2"/>
            <w:tcBorders>
              <w:top w:val="single" w:color="000000" w:sz="4" w:space="0"/>
              <w:left w:val="single" w:color="000000" w:sz="4" w:space="0"/>
              <w:bottom w:val="single" w:color="000000" w:sz="4" w:space="0"/>
              <w:right w:val="single" w:color="000000" w:sz="4" w:space="0"/>
            </w:tcBorders>
            <w:vAlign w:val="center"/>
          </w:tcPr>
          <w:p w14:paraId="2179638A">
            <w:pPr>
              <w:spacing w:line="240" w:lineRule="exact"/>
              <w:jc w:val="left"/>
              <w:rPr>
                <w:rFonts w:ascii="宋体" w:hAnsi="宋体" w:cs="宋体"/>
                <w:color w:val="000000"/>
                <w:sz w:val="18"/>
                <w:szCs w:val="18"/>
              </w:rPr>
            </w:pPr>
          </w:p>
        </w:tc>
      </w:tr>
      <w:tr w14:paraId="3E3F36B1">
        <w:tblPrEx>
          <w:tblCellMar>
            <w:top w:w="0" w:type="dxa"/>
            <w:left w:w="108" w:type="dxa"/>
            <w:bottom w:w="0" w:type="dxa"/>
            <w:right w:w="108" w:type="dxa"/>
          </w:tblCellMar>
        </w:tblPrEx>
        <w:trPr>
          <w:trHeight w:val="3260" w:hRule="atLeast"/>
          <w:jc w:val="center"/>
        </w:trPr>
        <w:tc>
          <w:tcPr>
            <w:tcW w:w="758" w:type="dxa"/>
            <w:tcBorders>
              <w:top w:val="single" w:color="000000" w:sz="4" w:space="0"/>
              <w:left w:val="single" w:color="000000" w:sz="4" w:space="0"/>
              <w:bottom w:val="single" w:color="000000" w:sz="4" w:space="0"/>
              <w:right w:val="single" w:color="000000" w:sz="4" w:space="0"/>
            </w:tcBorders>
            <w:vAlign w:val="center"/>
          </w:tcPr>
          <w:p w14:paraId="75CEB851">
            <w:pPr>
              <w:widowControl/>
              <w:spacing w:line="240" w:lineRule="exact"/>
              <w:jc w:val="center"/>
              <w:textAlignment w:val="center"/>
              <w:rPr>
                <w:rFonts w:ascii="宋体" w:hAnsi="宋体" w:cs="宋体"/>
                <w:color w:val="000000"/>
                <w:sz w:val="18"/>
                <w:szCs w:val="18"/>
              </w:rPr>
            </w:pPr>
            <w:r>
              <w:rPr>
                <w:rFonts w:hint="eastAsia" w:ascii="宋体" w:hAnsi="宋体" w:cs="宋体"/>
                <w:color w:val="000000"/>
                <w:kern w:val="0"/>
                <w:sz w:val="18"/>
                <w:szCs w:val="18"/>
              </w:rPr>
              <w:t>12</w:t>
            </w:r>
          </w:p>
        </w:tc>
        <w:tc>
          <w:tcPr>
            <w:tcW w:w="1147" w:type="dxa"/>
            <w:tcBorders>
              <w:top w:val="single" w:color="000000" w:sz="4" w:space="0"/>
              <w:left w:val="single" w:color="000000" w:sz="4" w:space="0"/>
              <w:bottom w:val="single" w:color="000000" w:sz="4" w:space="0"/>
              <w:right w:val="single" w:color="000000" w:sz="4" w:space="0"/>
            </w:tcBorders>
            <w:vAlign w:val="center"/>
          </w:tcPr>
          <w:p w14:paraId="7A638810">
            <w:pPr>
              <w:widowControl/>
              <w:spacing w:line="240" w:lineRule="exact"/>
              <w:jc w:val="left"/>
              <w:textAlignment w:val="center"/>
              <w:rPr>
                <w:rFonts w:ascii="宋体" w:hAnsi="宋体" w:cs="宋体"/>
                <w:color w:val="000000"/>
                <w:sz w:val="18"/>
                <w:szCs w:val="18"/>
              </w:rPr>
            </w:pPr>
            <w:r>
              <w:rPr>
                <w:rFonts w:hint="eastAsia" w:ascii="宋体" w:hAnsi="宋体" w:cs="宋体"/>
                <w:color w:val="000000"/>
                <w:kern w:val="0"/>
                <w:sz w:val="18"/>
                <w:szCs w:val="18"/>
              </w:rPr>
              <w:t>农药广告审查</w:t>
            </w:r>
          </w:p>
        </w:tc>
        <w:tc>
          <w:tcPr>
            <w:tcW w:w="998" w:type="dxa"/>
            <w:tcBorders>
              <w:top w:val="single" w:color="000000" w:sz="4" w:space="0"/>
              <w:left w:val="single" w:color="000000" w:sz="4" w:space="0"/>
              <w:bottom w:val="single" w:color="000000" w:sz="4" w:space="0"/>
              <w:right w:val="single" w:color="000000" w:sz="4" w:space="0"/>
            </w:tcBorders>
            <w:vAlign w:val="center"/>
          </w:tcPr>
          <w:p w14:paraId="746B4DDF">
            <w:pPr>
              <w:spacing w:line="240" w:lineRule="exact"/>
              <w:jc w:val="left"/>
              <w:rPr>
                <w:rFonts w:ascii="宋体" w:hAnsi="宋体" w:cs="宋体"/>
                <w:color w:val="000000"/>
                <w:sz w:val="18"/>
                <w:szCs w:val="18"/>
              </w:rPr>
            </w:pPr>
          </w:p>
        </w:tc>
        <w:tc>
          <w:tcPr>
            <w:tcW w:w="966" w:type="dxa"/>
            <w:tcBorders>
              <w:top w:val="single" w:color="000000" w:sz="4" w:space="0"/>
              <w:left w:val="single" w:color="000000" w:sz="4" w:space="0"/>
              <w:bottom w:val="single" w:color="000000" w:sz="4" w:space="0"/>
              <w:right w:val="single" w:color="000000" w:sz="4" w:space="0"/>
            </w:tcBorders>
            <w:vAlign w:val="center"/>
          </w:tcPr>
          <w:p w14:paraId="508A93AE">
            <w:pPr>
              <w:widowControl/>
              <w:spacing w:line="240" w:lineRule="exact"/>
              <w:jc w:val="center"/>
              <w:textAlignment w:val="center"/>
              <w:rPr>
                <w:rFonts w:ascii="宋体" w:hAnsi="宋体" w:cs="宋体"/>
                <w:color w:val="000000"/>
                <w:sz w:val="18"/>
                <w:szCs w:val="18"/>
              </w:rPr>
            </w:pPr>
            <w:r>
              <w:rPr>
                <w:rFonts w:hint="eastAsia" w:ascii="宋体" w:hAnsi="宋体" w:cs="宋体"/>
                <w:color w:val="000000"/>
                <w:kern w:val="0"/>
                <w:sz w:val="18"/>
                <w:szCs w:val="18"/>
              </w:rPr>
              <w:t>行政许可</w:t>
            </w:r>
          </w:p>
        </w:tc>
        <w:tc>
          <w:tcPr>
            <w:tcW w:w="2869" w:type="dxa"/>
            <w:tcBorders>
              <w:top w:val="single" w:color="000000" w:sz="4" w:space="0"/>
              <w:left w:val="single" w:color="000000" w:sz="4" w:space="0"/>
              <w:bottom w:val="single" w:color="000000" w:sz="4" w:space="0"/>
              <w:right w:val="single" w:color="000000" w:sz="4" w:space="0"/>
            </w:tcBorders>
            <w:vAlign w:val="center"/>
          </w:tcPr>
          <w:p w14:paraId="5CC7E655">
            <w:pPr>
              <w:widowControl/>
              <w:spacing w:line="240" w:lineRule="exact"/>
              <w:jc w:val="left"/>
              <w:textAlignment w:val="center"/>
              <w:rPr>
                <w:rFonts w:hint="eastAsia" w:ascii="宋体" w:hAnsi="宋体" w:eastAsia="宋体" w:cs="宋体"/>
                <w:color w:val="000000"/>
                <w:spacing w:val="-11"/>
                <w:kern w:val="0"/>
                <w:sz w:val="18"/>
                <w:szCs w:val="18"/>
                <w:lang w:eastAsia="zh-CN"/>
              </w:rPr>
            </w:pPr>
            <w:r>
              <w:rPr>
                <w:rFonts w:hint="eastAsia" w:ascii="宋体" w:hAnsi="宋体" w:cs="宋体"/>
                <w:color w:val="000000"/>
                <w:spacing w:val="-11"/>
                <w:kern w:val="0"/>
                <w:sz w:val="18"/>
                <w:szCs w:val="18"/>
              </w:rPr>
              <w:t>【法律】《中华人民共和国广告法》（1994年10月27日主席令第三十四号，2015年4月24日予以修改）第四十六条 发布医疗、药品、医疗器械、农药、兽药和保健食品广告，以及法律、行政法规规定应当进行审查的其他广告，应当在发布前由有关部门(以下称广告审查机关)对广告内容进行审查；未经审查，不得发布。</w:t>
            </w:r>
          </w:p>
          <w:p w14:paraId="7A1A9489">
            <w:pPr>
              <w:widowControl/>
              <w:spacing w:line="240" w:lineRule="exact"/>
              <w:jc w:val="left"/>
              <w:textAlignment w:val="center"/>
              <w:rPr>
                <w:rFonts w:hint="eastAsia" w:ascii="宋体" w:hAnsi="宋体" w:eastAsia="宋体" w:cs="宋体"/>
                <w:color w:val="000000"/>
                <w:kern w:val="0"/>
                <w:sz w:val="18"/>
                <w:szCs w:val="18"/>
                <w:lang w:eastAsia="zh-CN"/>
              </w:rPr>
            </w:pPr>
            <w:r>
              <w:rPr>
                <w:rFonts w:hint="eastAsia" w:ascii="宋体" w:hAnsi="宋体" w:cs="宋体"/>
                <w:color w:val="000000"/>
                <w:kern w:val="0"/>
                <w:sz w:val="18"/>
                <w:szCs w:val="18"/>
              </w:rPr>
              <w:t>【规范性文件】《国务院关于第六批取消和调整行政审批项目的决定》（国发〔2012〕52号）附件2第25项 “农药广告审批”下放至省级人民政府农业行政部门实施。</w:t>
            </w:r>
          </w:p>
          <w:p w14:paraId="63405ABE">
            <w:pPr>
              <w:widowControl/>
              <w:spacing w:line="240" w:lineRule="exact"/>
              <w:jc w:val="left"/>
              <w:textAlignment w:val="center"/>
              <w:rPr>
                <w:rFonts w:ascii="宋体" w:hAnsi="宋体" w:cs="宋体"/>
                <w:color w:val="000000"/>
                <w:sz w:val="18"/>
                <w:szCs w:val="18"/>
              </w:rPr>
            </w:pPr>
            <w:r>
              <w:rPr>
                <w:rFonts w:hint="eastAsia" w:ascii="宋体" w:hAnsi="宋体" w:cs="宋体"/>
                <w:color w:val="000000"/>
                <w:spacing w:val="-11"/>
                <w:kern w:val="0"/>
                <w:sz w:val="18"/>
                <w:szCs w:val="18"/>
              </w:rPr>
              <w:t>【规范性文件】《辽宁省人民政府关于取消和下放一批行政审批项目的决定》（辽政发〔2014〕30号）农药广告内容审查（下放至市、县农业行政主管部门管理）</w:t>
            </w:r>
          </w:p>
        </w:tc>
        <w:tc>
          <w:tcPr>
            <w:tcW w:w="927" w:type="dxa"/>
            <w:tcBorders>
              <w:top w:val="single" w:color="000000" w:sz="4" w:space="0"/>
              <w:left w:val="single" w:color="000000" w:sz="4" w:space="0"/>
              <w:bottom w:val="single" w:color="000000" w:sz="4" w:space="0"/>
              <w:right w:val="single" w:color="000000" w:sz="4" w:space="0"/>
            </w:tcBorders>
            <w:vAlign w:val="center"/>
          </w:tcPr>
          <w:p w14:paraId="1F92A9C3">
            <w:pPr>
              <w:widowControl/>
              <w:spacing w:line="240" w:lineRule="exact"/>
              <w:jc w:val="center"/>
              <w:textAlignment w:val="center"/>
              <w:rPr>
                <w:rFonts w:ascii="宋体" w:hAnsi="宋体" w:cs="宋体"/>
                <w:color w:val="000000"/>
                <w:kern w:val="0"/>
                <w:sz w:val="18"/>
                <w:szCs w:val="18"/>
              </w:rPr>
            </w:pPr>
            <w:r>
              <w:rPr>
                <w:rFonts w:hint="eastAsia" w:ascii="宋体" w:hAnsi="宋体" w:cs="宋体"/>
                <w:color w:val="000000"/>
                <w:kern w:val="0"/>
                <w:sz w:val="18"/>
                <w:szCs w:val="18"/>
              </w:rPr>
              <w:t>县农业</w:t>
            </w:r>
          </w:p>
          <w:p w14:paraId="2DD3AA59">
            <w:pPr>
              <w:widowControl/>
              <w:spacing w:line="240" w:lineRule="exact"/>
              <w:jc w:val="center"/>
              <w:textAlignment w:val="center"/>
              <w:rPr>
                <w:rFonts w:ascii="宋体" w:hAnsi="宋体" w:cs="宋体"/>
                <w:color w:val="000000"/>
                <w:sz w:val="18"/>
                <w:szCs w:val="18"/>
              </w:rPr>
            </w:pPr>
            <w:r>
              <w:rPr>
                <w:rFonts w:hint="eastAsia" w:ascii="宋体" w:hAnsi="宋体" w:cs="宋体"/>
                <w:color w:val="000000"/>
                <w:kern w:val="0"/>
                <w:sz w:val="18"/>
                <w:szCs w:val="18"/>
              </w:rPr>
              <w:t>农村局</w:t>
            </w:r>
          </w:p>
        </w:tc>
        <w:tc>
          <w:tcPr>
            <w:tcW w:w="924" w:type="dxa"/>
            <w:tcBorders>
              <w:top w:val="single" w:color="000000" w:sz="4" w:space="0"/>
              <w:left w:val="single" w:color="000000" w:sz="4" w:space="0"/>
              <w:bottom w:val="single" w:color="000000" w:sz="4" w:space="0"/>
              <w:right w:val="single" w:color="000000" w:sz="4" w:space="0"/>
            </w:tcBorders>
            <w:vAlign w:val="center"/>
          </w:tcPr>
          <w:p w14:paraId="465C5859">
            <w:pPr>
              <w:widowControl/>
              <w:spacing w:line="240" w:lineRule="exact"/>
              <w:jc w:val="center"/>
              <w:textAlignment w:val="center"/>
              <w:rPr>
                <w:rFonts w:ascii="宋体" w:hAnsi="宋体" w:cs="宋体"/>
                <w:color w:val="000000"/>
                <w:sz w:val="18"/>
                <w:szCs w:val="18"/>
              </w:rPr>
            </w:pPr>
            <w:r>
              <w:rPr>
                <w:rFonts w:hint="eastAsia" w:ascii="宋体" w:hAnsi="宋体" w:cs="宋体"/>
                <w:color w:val="000000"/>
                <w:kern w:val="0"/>
                <w:sz w:val="18"/>
                <w:szCs w:val="18"/>
              </w:rPr>
              <w:t>承接</w:t>
            </w:r>
          </w:p>
        </w:tc>
        <w:tc>
          <w:tcPr>
            <w:tcW w:w="1020" w:type="dxa"/>
            <w:tcBorders>
              <w:top w:val="single" w:color="000000" w:sz="4" w:space="0"/>
              <w:left w:val="single" w:color="000000" w:sz="4" w:space="0"/>
              <w:bottom w:val="single" w:color="000000" w:sz="4" w:space="0"/>
              <w:right w:val="single" w:color="000000" w:sz="4" w:space="0"/>
            </w:tcBorders>
            <w:vAlign w:val="center"/>
          </w:tcPr>
          <w:p w14:paraId="4FC31044">
            <w:pPr>
              <w:widowControl/>
              <w:spacing w:line="240" w:lineRule="exact"/>
              <w:jc w:val="left"/>
              <w:textAlignment w:val="center"/>
              <w:rPr>
                <w:rFonts w:hint="eastAsia" w:ascii="宋体" w:hAnsi="宋体" w:eastAsia="宋体" w:cs="宋体"/>
                <w:color w:val="000000"/>
                <w:kern w:val="0"/>
                <w:sz w:val="18"/>
                <w:szCs w:val="18"/>
                <w:lang w:eastAsia="zh-CN"/>
              </w:rPr>
            </w:pPr>
            <w:r>
              <w:rPr>
                <w:rFonts w:hint="eastAsia" w:ascii="宋体" w:hAnsi="宋体" w:cs="宋体"/>
                <w:color w:val="000000"/>
                <w:kern w:val="0"/>
                <w:sz w:val="18"/>
                <w:szCs w:val="18"/>
              </w:rPr>
              <w:t>1.加强业务学习。</w:t>
            </w:r>
          </w:p>
          <w:p w14:paraId="664D4EEB">
            <w:pPr>
              <w:widowControl/>
              <w:spacing w:line="240" w:lineRule="exact"/>
              <w:jc w:val="left"/>
              <w:textAlignment w:val="center"/>
              <w:rPr>
                <w:rFonts w:ascii="宋体" w:hAnsi="宋体" w:cs="宋体"/>
                <w:color w:val="000000"/>
                <w:sz w:val="18"/>
                <w:szCs w:val="18"/>
              </w:rPr>
            </w:pPr>
            <w:r>
              <w:rPr>
                <w:rFonts w:hint="eastAsia" w:ascii="宋体" w:hAnsi="宋体" w:cs="宋体"/>
                <w:color w:val="000000"/>
                <w:kern w:val="0"/>
                <w:sz w:val="18"/>
                <w:szCs w:val="18"/>
              </w:rPr>
              <w:t>2.建立随机抽查监管机制，对承接事项进行跟踪检查。</w:t>
            </w:r>
          </w:p>
        </w:tc>
        <w:tc>
          <w:tcPr>
            <w:tcW w:w="597" w:type="dxa"/>
            <w:gridSpan w:val="2"/>
            <w:tcBorders>
              <w:top w:val="single" w:color="000000" w:sz="4" w:space="0"/>
              <w:left w:val="single" w:color="000000" w:sz="4" w:space="0"/>
              <w:bottom w:val="single" w:color="000000" w:sz="4" w:space="0"/>
              <w:right w:val="single" w:color="000000" w:sz="4" w:space="0"/>
            </w:tcBorders>
            <w:vAlign w:val="center"/>
          </w:tcPr>
          <w:p w14:paraId="5C350C80">
            <w:pPr>
              <w:spacing w:line="240" w:lineRule="exact"/>
              <w:jc w:val="left"/>
              <w:rPr>
                <w:rFonts w:ascii="宋体" w:hAnsi="宋体" w:cs="宋体"/>
                <w:color w:val="000000"/>
                <w:sz w:val="18"/>
                <w:szCs w:val="18"/>
              </w:rPr>
            </w:pPr>
          </w:p>
        </w:tc>
      </w:tr>
      <w:tr w14:paraId="797B26AA">
        <w:tblPrEx>
          <w:tblCellMar>
            <w:top w:w="0" w:type="dxa"/>
            <w:left w:w="108" w:type="dxa"/>
            <w:bottom w:w="0" w:type="dxa"/>
            <w:right w:w="108" w:type="dxa"/>
          </w:tblCellMar>
        </w:tblPrEx>
        <w:trPr>
          <w:trHeight w:val="90" w:hRule="atLeast"/>
          <w:jc w:val="center"/>
        </w:trPr>
        <w:tc>
          <w:tcPr>
            <w:tcW w:w="758" w:type="dxa"/>
            <w:tcBorders>
              <w:top w:val="single" w:color="000000" w:sz="4" w:space="0"/>
              <w:left w:val="single" w:color="000000" w:sz="4" w:space="0"/>
              <w:bottom w:val="single" w:color="000000" w:sz="4" w:space="0"/>
              <w:right w:val="single" w:color="000000" w:sz="4" w:space="0"/>
            </w:tcBorders>
            <w:vAlign w:val="center"/>
          </w:tcPr>
          <w:p w14:paraId="0A138957">
            <w:pPr>
              <w:widowControl/>
              <w:spacing w:line="240" w:lineRule="exact"/>
              <w:jc w:val="center"/>
              <w:textAlignment w:val="center"/>
              <w:rPr>
                <w:rFonts w:ascii="宋体" w:hAnsi="宋体" w:cs="宋体"/>
                <w:color w:val="000000"/>
                <w:sz w:val="18"/>
                <w:szCs w:val="18"/>
              </w:rPr>
            </w:pPr>
            <w:r>
              <w:rPr>
                <w:rFonts w:hint="eastAsia" w:ascii="宋体" w:hAnsi="宋体" w:cs="宋体"/>
                <w:color w:val="000000"/>
                <w:kern w:val="0"/>
                <w:sz w:val="18"/>
                <w:szCs w:val="18"/>
              </w:rPr>
              <w:t>13</w:t>
            </w:r>
          </w:p>
        </w:tc>
        <w:tc>
          <w:tcPr>
            <w:tcW w:w="1147" w:type="dxa"/>
            <w:tcBorders>
              <w:top w:val="single" w:color="000000" w:sz="4" w:space="0"/>
              <w:left w:val="single" w:color="000000" w:sz="4" w:space="0"/>
              <w:bottom w:val="single" w:color="000000" w:sz="4" w:space="0"/>
              <w:right w:val="single" w:color="000000" w:sz="4" w:space="0"/>
            </w:tcBorders>
            <w:vAlign w:val="center"/>
          </w:tcPr>
          <w:p w14:paraId="1B04736D">
            <w:pPr>
              <w:widowControl/>
              <w:spacing w:line="240" w:lineRule="exact"/>
              <w:jc w:val="left"/>
              <w:textAlignment w:val="center"/>
              <w:rPr>
                <w:rFonts w:ascii="宋体" w:hAnsi="宋体" w:cs="宋体"/>
                <w:color w:val="000000"/>
                <w:sz w:val="18"/>
                <w:szCs w:val="18"/>
              </w:rPr>
            </w:pPr>
            <w:r>
              <w:rPr>
                <w:rFonts w:hint="eastAsia" w:ascii="宋体" w:hAnsi="宋体" w:cs="宋体"/>
                <w:color w:val="000000"/>
                <w:kern w:val="0"/>
                <w:sz w:val="18"/>
                <w:szCs w:val="18"/>
              </w:rPr>
              <w:t>兽药经营许可证核发</w:t>
            </w:r>
          </w:p>
        </w:tc>
        <w:tc>
          <w:tcPr>
            <w:tcW w:w="998" w:type="dxa"/>
            <w:tcBorders>
              <w:top w:val="single" w:color="000000" w:sz="4" w:space="0"/>
              <w:left w:val="single" w:color="000000" w:sz="4" w:space="0"/>
              <w:bottom w:val="single" w:color="000000" w:sz="4" w:space="0"/>
              <w:right w:val="single" w:color="000000" w:sz="4" w:space="0"/>
            </w:tcBorders>
            <w:vAlign w:val="center"/>
          </w:tcPr>
          <w:p w14:paraId="44D18591">
            <w:pPr>
              <w:spacing w:line="240" w:lineRule="exact"/>
              <w:jc w:val="left"/>
              <w:rPr>
                <w:rFonts w:ascii="宋体" w:hAnsi="宋体" w:cs="宋体"/>
                <w:color w:val="000000"/>
                <w:sz w:val="18"/>
                <w:szCs w:val="18"/>
              </w:rPr>
            </w:pPr>
          </w:p>
        </w:tc>
        <w:tc>
          <w:tcPr>
            <w:tcW w:w="966" w:type="dxa"/>
            <w:tcBorders>
              <w:top w:val="single" w:color="000000" w:sz="4" w:space="0"/>
              <w:left w:val="single" w:color="000000" w:sz="4" w:space="0"/>
              <w:bottom w:val="single" w:color="000000" w:sz="4" w:space="0"/>
              <w:right w:val="single" w:color="000000" w:sz="4" w:space="0"/>
            </w:tcBorders>
            <w:vAlign w:val="center"/>
          </w:tcPr>
          <w:p w14:paraId="2D023413">
            <w:pPr>
              <w:widowControl/>
              <w:spacing w:line="240" w:lineRule="exact"/>
              <w:jc w:val="center"/>
              <w:textAlignment w:val="center"/>
              <w:rPr>
                <w:rFonts w:ascii="宋体" w:hAnsi="宋体" w:cs="宋体"/>
                <w:color w:val="000000"/>
                <w:sz w:val="18"/>
                <w:szCs w:val="18"/>
              </w:rPr>
            </w:pPr>
            <w:r>
              <w:rPr>
                <w:rFonts w:hint="eastAsia" w:ascii="宋体" w:hAnsi="宋体" w:cs="宋体"/>
                <w:color w:val="000000"/>
                <w:kern w:val="0"/>
                <w:sz w:val="18"/>
                <w:szCs w:val="18"/>
              </w:rPr>
              <w:t>行政许可</w:t>
            </w:r>
          </w:p>
        </w:tc>
        <w:tc>
          <w:tcPr>
            <w:tcW w:w="2869" w:type="dxa"/>
            <w:tcBorders>
              <w:top w:val="single" w:color="000000" w:sz="4" w:space="0"/>
              <w:left w:val="single" w:color="000000" w:sz="4" w:space="0"/>
              <w:bottom w:val="single" w:color="000000" w:sz="4" w:space="0"/>
              <w:right w:val="single" w:color="000000" w:sz="4" w:space="0"/>
            </w:tcBorders>
            <w:vAlign w:val="center"/>
          </w:tcPr>
          <w:p w14:paraId="466CF6AA">
            <w:pPr>
              <w:widowControl/>
              <w:spacing w:line="240" w:lineRule="exact"/>
              <w:jc w:val="left"/>
              <w:textAlignment w:val="center"/>
              <w:rPr>
                <w:rFonts w:hint="eastAsia" w:ascii="宋体" w:hAnsi="宋体" w:eastAsia="宋体" w:cs="宋体"/>
                <w:color w:val="000000"/>
                <w:kern w:val="0"/>
                <w:sz w:val="18"/>
                <w:szCs w:val="18"/>
                <w:lang w:eastAsia="zh-CN"/>
              </w:rPr>
            </w:pPr>
            <w:r>
              <w:rPr>
                <w:rFonts w:hint="eastAsia" w:ascii="宋体" w:hAnsi="宋体" w:cs="宋体"/>
                <w:color w:val="000000"/>
                <w:kern w:val="0"/>
                <w:sz w:val="18"/>
                <w:szCs w:val="18"/>
              </w:rPr>
              <w:t>【行政法规】</w:t>
            </w:r>
            <w:r>
              <w:rPr>
                <w:rFonts w:hint="eastAsia" w:ascii="宋体" w:hAnsi="宋体" w:cs="宋体"/>
                <w:color w:val="000000"/>
                <w:kern w:val="0"/>
                <w:sz w:val="18"/>
                <w:szCs w:val="18"/>
                <w:lang w:eastAsia="zh-CN"/>
              </w:rPr>
              <w:t>《兽药管理条例》</w:t>
            </w:r>
            <w:r>
              <w:rPr>
                <w:rFonts w:hint="eastAsia" w:ascii="宋体" w:hAnsi="宋体" w:cs="宋体"/>
                <w:color w:val="000000"/>
                <w:kern w:val="0"/>
                <w:sz w:val="18"/>
                <w:szCs w:val="18"/>
              </w:rPr>
              <w:t>（2004年4月9日国务院令第404号，2016年2月6日予以修改）第二十二条 经营兽药的企业，应当具备下列条件：（一）与所经营的兽药相适应的兽药技术人员；（二）与所经营的兽药相适应的营业场所、设备、仓库设施；（三）与所经营的兽药相适应的质量管理机构或者人员；（四）兽药经营质量管理规范规定的其他经营条件。符合前款规定条件的，申请人方可向市、县人民政府兽医行政管理部门提出申请，并附具符合前款规定条件的证明材料；经营兽用生物制品的，应当向省、自治区、直辖市人民政府兽医行政管理部门提出申请，并附具符合前款规定条件的证明材料。县级以上地方人民政府兽医行政管理部门，应当自收到申请之日起30个工作日内完成审查。审查合格的，发给兽药经营许可证；不合格的，应当书面通知申请人。</w:t>
            </w:r>
          </w:p>
          <w:p w14:paraId="5B4A5217">
            <w:pPr>
              <w:widowControl/>
              <w:spacing w:line="240" w:lineRule="exact"/>
              <w:jc w:val="left"/>
              <w:textAlignment w:val="center"/>
              <w:rPr>
                <w:rFonts w:ascii="宋体" w:hAnsi="宋体" w:cs="宋体"/>
                <w:color w:val="000000"/>
                <w:sz w:val="18"/>
                <w:szCs w:val="18"/>
              </w:rPr>
            </w:pPr>
            <w:r>
              <w:rPr>
                <w:rFonts w:hint="eastAsia" w:ascii="宋体" w:hAnsi="宋体" w:cs="宋体"/>
                <w:color w:val="000000"/>
                <w:spacing w:val="-6"/>
                <w:kern w:val="0"/>
                <w:sz w:val="18"/>
                <w:szCs w:val="18"/>
              </w:rPr>
              <w:t>【规范性文件】《辽宁省人民政府关于取消和下放一批行政审批项目的决定》（辽政发〔2014〕30号） 下放至市、县级人民政府畜牧兽医行政主管部门管理。</w:t>
            </w:r>
          </w:p>
        </w:tc>
        <w:tc>
          <w:tcPr>
            <w:tcW w:w="927" w:type="dxa"/>
            <w:tcBorders>
              <w:top w:val="single" w:color="000000" w:sz="4" w:space="0"/>
              <w:left w:val="single" w:color="000000" w:sz="4" w:space="0"/>
              <w:bottom w:val="single" w:color="000000" w:sz="4" w:space="0"/>
              <w:right w:val="single" w:color="000000" w:sz="4" w:space="0"/>
            </w:tcBorders>
            <w:vAlign w:val="center"/>
          </w:tcPr>
          <w:p w14:paraId="503C788F">
            <w:pPr>
              <w:widowControl/>
              <w:spacing w:line="240" w:lineRule="exact"/>
              <w:jc w:val="center"/>
              <w:textAlignment w:val="center"/>
              <w:rPr>
                <w:rFonts w:ascii="宋体" w:hAnsi="宋体" w:cs="宋体"/>
                <w:color w:val="000000"/>
                <w:kern w:val="0"/>
                <w:sz w:val="18"/>
                <w:szCs w:val="18"/>
              </w:rPr>
            </w:pPr>
            <w:r>
              <w:rPr>
                <w:rFonts w:hint="eastAsia" w:ascii="宋体" w:hAnsi="宋体" w:cs="宋体"/>
                <w:color w:val="000000"/>
                <w:kern w:val="0"/>
                <w:sz w:val="18"/>
                <w:szCs w:val="18"/>
              </w:rPr>
              <w:t>县农业</w:t>
            </w:r>
          </w:p>
          <w:p w14:paraId="29A94731">
            <w:pPr>
              <w:widowControl/>
              <w:spacing w:line="240" w:lineRule="exact"/>
              <w:jc w:val="center"/>
              <w:textAlignment w:val="center"/>
              <w:rPr>
                <w:rFonts w:ascii="宋体" w:hAnsi="宋体" w:cs="宋体"/>
                <w:color w:val="000000"/>
                <w:sz w:val="18"/>
                <w:szCs w:val="18"/>
              </w:rPr>
            </w:pPr>
            <w:r>
              <w:rPr>
                <w:rFonts w:hint="eastAsia" w:ascii="宋体" w:hAnsi="宋体" w:cs="宋体"/>
                <w:color w:val="000000"/>
                <w:kern w:val="0"/>
                <w:sz w:val="18"/>
                <w:szCs w:val="18"/>
              </w:rPr>
              <w:t>农村局</w:t>
            </w:r>
          </w:p>
        </w:tc>
        <w:tc>
          <w:tcPr>
            <w:tcW w:w="924" w:type="dxa"/>
            <w:tcBorders>
              <w:top w:val="single" w:color="000000" w:sz="4" w:space="0"/>
              <w:left w:val="single" w:color="000000" w:sz="4" w:space="0"/>
              <w:bottom w:val="single" w:color="000000" w:sz="4" w:space="0"/>
              <w:right w:val="single" w:color="000000" w:sz="4" w:space="0"/>
            </w:tcBorders>
            <w:vAlign w:val="center"/>
          </w:tcPr>
          <w:p w14:paraId="6F4EC4CE">
            <w:pPr>
              <w:widowControl/>
              <w:spacing w:line="240" w:lineRule="exact"/>
              <w:jc w:val="center"/>
              <w:textAlignment w:val="center"/>
              <w:rPr>
                <w:rFonts w:ascii="宋体" w:hAnsi="宋体" w:cs="宋体"/>
                <w:color w:val="000000"/>
                <w:sz w:val="18"/>
                <w:szCs w:val="18"/>
              </w:rPr>
            </w:pPr>
            <w:r>
              <w:rPr>
                <w:rFonts w:hint="eastAsia" w:ascii="宋体" w:hAnsi="宋体" w:cs="宋体"/>
                <w:color w:val="000000"/>
                <w:kern w:val="0"/>
                <w:sz w:val="18"/>
                <w:szCs w:val="18"/>
              </w:rPr>
              <w:t>承接</w:t>
            </w:r>
          </w:p>
        </w:tc>
        <w:tc>
          <w:tcPr>
            <w:tcW w:w="1020" w:type="dxa"/>
            <w:tcBorders>
              <w:top w:val="single" w:color="000000" w:sz="4" w:space="0"/>
              <w:left w:val="single" w:color="000000" w:sz="4" w:space="0"/>
              <w:bottom w:val="single" w:color="000000" w:sz="4" w:space="0"/>
              <w:right w:val="single" w:color="000000" w:sz="4" w:space="0"/>
            </w:tcBorders>
            <w:vAlign w:val="center"/>
          </w:tcPr>
          <w:p w14:paraId="5E748A82">
            <w:pPr>
              <w:widowControl/>
              <w:spacing w:line="240" w:lineRule="exact"/>
              <w:jc w:val="left"/>
              <w:textAlignment w:val="center"/>
              <w:rPr>
                <w:rFonts w:hint="eastAsia" w:ascii="宋体" w:hAnsi="宋体" w:eastAsia="宋体" w:cs="宋体"/>
                <w:color w:val="000000"/>
                <w:kern w:val="0"/>
                <w:sz w:val="18"/>
                <w:szCs w:val="18"/>
                <w:lang w:eastAsia="zh-CN"/>
              </w:rPr>
            </w:pPr>
            <w:r>
              <w:rPr>
                <w:rFonts w:hint="eastAsia" w:ascii="宋体" w:hAnsi="宋体" w:cs="宋体"/>
                <w:color w:val="000000"/>
                <w:kern w:val="0"/>
                <w:sz w:val="18"/>
                <w:szCs w:val="18"/>
              </w:rPr>
              <w:t>1.加强业务学习。</w:t>
            </w:r>
          </w:p>
          <w:p w14:paraId="635E97D5">
            <w:pPr>
              <w:widowControl/>
              <w:spacing w:line="240" w:lineRule="exact"/>
              <w:jc w:val="left"/>
              <w:textAlignment w:val="center"/>
              <w:rPr>
                <w:rFonts w:ascii="宋体" w:hAnsi="宋体" w:cs="宋体"/>
                <w:color w:val="000000"/>
                <w:sz w:val="18"/>
                <w:szCs w:val="18"/>
              </w:rPr>
            </w:pPr>
            <w:r>
              <w:rPr>
                <w:rFonts w:hint="eastAsia" w:ascii="宋体" w:hAnsi="宋体" w:cs="宋体"/>
                <w:color w:val="000000"/>
                <w:kern w:val="0"/>
                <w:sz w:val="18"/>
                <w:szCs w:val="18"/>
              </w:rPr>
              <w:t>2.建立随机抽查监管机制，对承接事项进行跟踪检查。</w:t>
            </w:r>
          </w:p>
        </w:tc>
        <w:tc>
          <w:tcPr>
            <w:tcW w:w="597" w:type="dxa"/>
            <w:gridSpan w:val="2"/>
            <w:tcBorders>
              <w:top w:val="single" w:color="000000" w:sz="4" w:space="0"/>
              <w:left w:val="single" w:color="000000" w:sz="4" w:space="0"/>
              <w:bottom w:val="single" w:color="000000" w:sz="4" w:space="0"/>
              <w:right w:val="single" w:color="000000" w:sz="4" w:space="0"/>
            </w:tcBorders>
            <w:vAlign w:val="center"/>
          </w:tcPr>
          <w:p w14:paraId="6763B566">
            <w:pPr>
              <w:spacing w:line="240" w:lineRule="exact"/>
              <w:jc w:val="left"/>
              <w:rPr>
                <w:rFonts w:ascii="宋体" w:hAnsi="宋体" w:cs="宋体"/>
                <w:color w:val="000000"/>
                <w:sz w:val="18"/>
                <w:szCs w:val="18"/>
              </w:rPr>
            </w:pPr>
          </w:p>
        </w:tc>
      </w:tr>
      <w:tr w14:paraId="372CB22F">
        <w:tblPrEx>
          <w:tblCellMar>
            <w:top w:w="0" w:type="dxa"/>
            <w:left w:w="108" w:type="dxa"/>
            <w:bottom w:w="0" w:type="dxa"/>
            <w:right w:w="108" w:type="dxa"/>
          </w:tblCellMar>
        </w:tblPrEx>
        <w:trPr>
          <w:trHeight w:val="90" w:hRule="atLeast"/>
          <w:jc w:val="center"/>
        </w:trPr>
        <w:tc>
          <w:tcPr>
            <w:tcW w:w="758" w:type="dxa"/>
            <w:tcBorders>
              <w:top w:val="single" w:color="000000" w:sz="4" w:space="0"/>
              <w:left w:val="single" w:color="000000" w:sz="4" w:space="0"/>
              <w:bottom w:val="single" w:color="000000" w:sz="4" w:space="0"/>
              <w:right w:val="single" w:color="000000" w:sz="4" w:space="0"/>
            </w:tcBorders>
            <w:vAlign w:val="center"/>
          </w:tcPr>
          <w:p w14:paraId="64336AA8">
            <w:pPr>
              <w:widowControl/>
              <w:spacing w:line="240" w:lineRule="exact"/>
              <w:jc w:val="center"/>
              <w:textAlignment w:val="center"/>
              <w:rPr>
                <w:rFonts w:ascii="宋体" w:hAnsi="宋体" w:cs="宋体"/>
                <w:color w:val="000000"/>
                <w:sz w:val="18"/>
                <w:szCs w:val="18"/>
              </w:rPr>
            </w:pPr>
            <w:r>
              <w:rPr>
                <w:rFonts w:hint="eastAsia" w:ascii="宋体" w:hAnsi="宋体" w:cs="宋体"/>
                <w:color w:val="000000"/>
                <w:kern w:val="0"/>
                <w:sz w:val="18"/>
                <w:szCs w:val="18"/>
              </w:rPr>
              <w:t>14</w:t>
            </w:r>
          </w:p>
        </w:tc>
        <w:tc>
          <w:tcPr>
            <w:tcW w:w="1147" w:type="dxa"/>
            <w:tcBorders>
              <w:top w:val="single" w:color="000000" w:sz="4" w:space="0"/>
              <w:left w:val="single" w:color="000000" w:sz="4" w:space="0"/>
              <w:bottom w:val="single" w:color="000000" w:sz="4" w:space="0"/>
              <w:right w:val="single" w:color="000000" w:sz="4" w:space="0"/>
            </w:tcBorders>
            <w:vAlign w:val="center"/>
          </w:tcPr>
          <w:p w14:paraId="7DA27F66">
            <w:pPr>
              <w:widowControl/>
              <w:spacing w:line="240" w:lineRule="exact"/>
              <w:jc w:val="left"/>
              <w:textAlignment w:val="center"/>
              <w:rPr>
                <w:rFonts w:ascii="宋体" w:hAnsi="宋体" w:cs="宋体"/>
                <w:color w:val="000000"/>
                <w:sz w:val="18"/>
                <w:szCs w:val="18"/>
              </w:rPr>
            </w:pPr>
            <w:r>
              <w:rPr>
                <w:rFonts w:hint="eastAsia" w:ascii="宋体" w:hAnsi="宋体" w:cs="宋体"/>
                <w:color w:val="000000"/>
                <w:kern w:val="0"/>
                <w:sz w:val="18"/>
                <w:szCs w:val="18"/>
              </w:rPr>
              <w:t>水产苗种生产审批</w:t>
            </w:r>
          </w:p>
        </w:tc>
        <w:tc>
          <w:tcPr>
            <w:tcW w:w="998" w:type="dxa"/>
            <w:tcBorders>
              <w:top w:val="single" w:color="000000" w:sz="4" w:space="0"/>
              <w:left w:val="single" w:color="000000" w:sz="4" w:space="0"/>
              <w:bottom w:val="single" w:color="000000" w:sz="4" w:space="0"/>
              <w:right w:val="single" w:color="000000" w:sz="4" w:space="0"/>
            </w:tcBorders>
            <w:vAlign w:val="center"/>
          </w:tcPr>
          <w:p w14:paraId="6965A918">
            <w:pPr>
              <w:spacing w:line="240" w:lineRule="exact"/>
              <w:jc w:val="left"/>
              <w:rPr>
                <w:rFonts w:ascii="宋体" w:hAnsi="宋体" w:cs="宋体"/>
                <w:color w:val="000000"/>
                <w:sz w:val="18"/>
                <w:szCs w:val="18"/>
              </w:rPr>
            </w:pPr>
          </w:p>
        </w:tc>
        <w:tc>
          <w:tcPr>
            <w:tcW w:w="966" w:type="dxa"/>
            <w:tcBorders>
              <w:top w:val="single" w:color="000000" w:sz="4" w:space="0"/>
              <w:left w:val="single" w:color="000000" w:sz="4" w:space="0"/>
              <w:bottom w:val="single" w:color="000000" w:sz="4" w:space="0"/>
              <w:right w:val="single" w:color="000000" w:sz="4" w:space="0"/>
            </w:tcBorders>
            <w:vAlign w:val="center"/>
          </w:tcPr>
          <w:p w14:paraId="3DA3D076">
            <w:pPr>
              <w:widowControl/>
              <w:spacing w:line="240" w:lineRule="exact"/>
              <w:jc w:val="center"/>
              <w:textAlignment w:val="center"/>
              <w:rPr>
                <w:rFonts w:ascii="宋体" w:hAnsi="宋体" w:cs="宋体"/>
                <w:color w:val="000000"/>
                <w:sz w:val="18"/>
                <w:szCs w:val="18"/>
              </w:rPr>
            </w:pPr>
            <w:r>
              <w:rPr>
                <w:rFonts w:hint="eastAsia" w:ascii="宋体" w:hAnsi="宋体" w:cs="宋体"/>
                <w:color w:val="000000"/>
                <w:kern w:val="0"/>
                <w:sz w:val="18"/>
                <w:szCs w:val="18"/>
              </w:rPr>
              <w:t>行政许可</w:t>
            </w:r>
          </w:p>
        </w:tc>
        <w:tc>
          <w:tcPr>
            <w:tcW w:w="2869" w:type="dxa"/>
            <w:tcBorders>
              <w:top w:val="single" w:color="000000" w:sz="4" w:space="0"/>
              <w:left w:val="single" w:color="000000" w:sz="4" w:space="0"/>
              <w:bottom w:val="single" w:color="000000" w:sz="4" w:space="0"/>
              <w:right w:val="single" w:color="000000" w:sz="4" w:space="0"/>
            </w:tcBorders>
            <w:vAlign w:val="center"/>
          </w:tcPr>
          <w:p w14:paraId="39101413">
            <w:pPr>
              <w:widowControl/>
              <w:spacing w:line="240" w:lineRule="exact"/>
              <w:jc w:val="left"/>
              <w:textAlignment w:val="center"/>
              <w:rPr>
                <w:rFonts w:hint="eastAsia" w:ascii="宋体" w:hAnsi="宋体" w:eastAsia="宋体" w:cs="宋体"/>
                <w:color w:val="000000"/>
                <w:spacing w:val="-6"/>
                <w:kern w:val="0"/>
                <w:sz w:val="18"/>
                <w:szCs w:val="18"/>
                <w:lang w:eastAsia="zh-CN"/>
              </w:rPr>
            </w:pPr>
            <w:r>
              <w:rPr>
                <w:rFonts w:hint="eastAsia" w:ascii="宋体" w:hAnsi="宋体" w:cs="宋体"/>
                <w:color w:val="000000"/>
                <w:kern w:val="0"/>
                <w:sz w:val="18"/>
                <w:szCs w:val="18"/>
              </w:rPr>
              <w:t>【法律】《中华人民共和国渔业法》（1986年1月20日第六届全国人民代表大会常务委员会第十四次会议通过，根据2013年12月28日第十二届全国人民代表大会常务委员会第六次会议《关于修改</w:t>
            </w:r>
            <w:r>
              <w:rPr>
                <w:rFonts w:hint="eastAsia" w:ascii="宋体" w:hAnsi="宋体" w:cs="宋体"/>
                <w:color w:val="000000"/>
                <w:spacing w:val="-6"/>
                <w:kern w:val="0"/>
                <w:sz w:val="18"/>
                <w:szCs w:val="18"/>
              </w:rPr>
              <w:t>〈中华人民共和国海洋环境保护法〉等七部法律的决定》第四次修正）第十六条第三款 水产苗种的生产由县级以上地方人民政府渔业行政主管部门审批。但是，渔业生产者自育、自用水产苗种的除外。</w:t>
            </w:r>
          </w:p>
          <w:p w14:paraId="720EA847">
            <w:pPr>
              <w:widowControl/>
              <w:spacing w:line="240" w:lineRule="exact"/>
              <w:jc w:val="left"/>
              <w:textAlignment w:val="center"/>
              <w:rPr>
                <w:rFonts w:ascii="宋体" w:hAnsi="宋体" w:cs="宋体"/>
                <w:color w:val="000000"/>
                <w:sz w:val="18"/>
                <w:szCs w:val="18"/>
              </w:rPr>
            </w:pPr>
            <w:r>
              <w:rPr>
                <w:rFonts w:hint="eastAsia" w:ascii="宋体" w:hAnsi="宋体" w:cs="宋体"/>
                <w:color w:val="000000"/>
                <w:kern w:val="0"/>
                <w:sz w:val="18"/>
                <w:szCs w:val="18"/>
              </w:rPr>
              <w:t>【规章】《水产苗种管理办法》（2005年1月5日农业部令第46号）第十一条 单位和个人从事水产苗种生产，应当经县级以上地方人民政府渔业行政主管部门批准，取得水产苗种生产许可证。但是，渔业生产者自育、自用水产苗种的除外。</w:t>
            </w:r>
          </w:p>
        </w:tc>
        <w:tc>
          <w:tcPr>
            <w:tcW w:w="927" w:type="dxa"/>
            <w:tcBorders>
              <w:top w:val="single" w:color="000000" w:sz="4" w:space="0"/>
              <w:left w:val="single" w:color="000000" w:sz="4" w:space="0"/>
              <w:bottom w:val="single" w:color="000000" w:sz="4" w:space="0"/>
              <w:right w:val="single" w:color="000000" w:sz="4" w:space="0"/>
            </w:tcBorders>
            <w:vAlign w:val="center"/>
          </w:tcPr>
          <w:p w14:paraId="019E6803">
            <w:pPr>
              <w:widowControl/>
              <w:spacing w:line="240" w:lineRule="exact"/>
              <w:jc w:val="center"/>
              <w:textAlignment w:val="center"/>
              <w:rPr>
                <w:rFonts w:ascii="宋体" w:hAnsi="宋体" w:cs="宋体"/>
                <w:color w:val="000000"/>
                <w:kern w:val="0"/>
                <w:sz w:val="18"/>
                <w:szCs w:val="18"/>
              </w:rPr>
            </w:pPr>
            <w:r>
              <w:rPr>
                <w:rFonts w:hint="eastAsia" w:ascii="宋体" w:hAnsi="宋体" w:cs="宋体"/>
                <w:color w:val="000000"/>
                <w:kern w:val="0"/>
                <w:sz w:val="18"/>
                <w:szCs w:val="18"/>
              </w:rPr>
              <w:t>县农业</w:t>
            </w:r>
          </w:p>
          <w:p w14:paraId="2F59C564">
            <w:pPr>
              <w:widowControl/>
              <w:spacing w:line="240" w:lineRule="exact"/>
              <w:jc w:val="center"/>
              <w:textAlignment w:val="center"/>
              <w:rPr>
                <w:rFonts w:ascii="宋体" w:hAnsi="宋体" w:cs="宋体"/>
                <w:color w:val="000000"/>
                <w:sz w:val="18"/>
                <w:szCs w:val="18"/>
              </w:rPr>
            </w:pPr>
            <w:r>
              <w:rPr>
                <w:rFonts w:hint="eastAsia" w:ascii="宋体" w:hAnsi="宋体" w:cs="宋体"/>
                <w:color w:val="000000"/>
                <w:kern w:val="0"/>
                <w:sz w:val="18"/>
                <w:szCs w:val="18"/>
              </w:rPr>
              <w:t>农村局</w:t>
            </w:r>
          </w:p>
        </w:tc>
        <w:tc>
          <w:tcPr>
            <w:tcW w:w="924" w:type="dxa"/>
            <w:tcBorders>
              <w:top w:val="single" w:color="000000" w:sz="4" w:space="0"/>
              <w:left w:val="single" w:color="000000" w:sz="4" w:space="0"/>
              <w:bottom w:val="single" w:color="000000" w:sz="4" w:space="0"/>
              <w:right w:val="single" w:color="000000" w:sz="4" w:space="0"/>
            </w:tcBorders>
            <w:vAlign w:val="center"/>
          </w:tcPr>
          <w:p w14:paraId="504504AA">
            <w:pPr>
              <w:widowControl/>
              <w:spacing w:line="240" w:lineRule="exact"/>
              <w:jc w:val="center"/>
              <w:textAlignment w:val="center"/>
              <w:rPr>
                <w:rFonts w:ascii="宋体" w:hAnsi="宋体" w:cs="宋体"/>
                <w:color w:val="000000"/>
                <w:sz w:val="18"/>
                <w:szCs w:val="18"/>
              </w:rPr>
            </w:pPr>
            <w:r>
              <w:rPr>
                <w:rFonts w:hint="eastAsia" w:ascii="宋体" w:hAnsi="宋体" w:cs="宋体"/>
                <w:color w:val="000000"/>
                <w:kern w:val="0"/>
                <w:sz w:val="18"/>
                <w:szCs w:val="18"/>
              </w:rPr>
              <w:t>承接</w:t>
            </w:r>
          </w:p>
        </w:tc>
        <w:tc>
          <w:tcPr>
            <w:tcW w:w="1020" w:type="dxa"/>
            <w:tcBorders>
              <w:top w:val="single" w:color="000000" w:sz="4" w:space="0"/>
              <w:left w:val="single" w:color="000000" w:sz="4" w:space="0"/>
              <w:bottom w:val="single" w:color="000000" w:sz="4" w:space="0"/>
              <w:right w:val="single" w:color="000000" w:sz="4" w:space="0"/>
            </w:tcBorders>
            <w:vAlign w:val="center"/>
          </w:tcPr>
          <w:p w14:paraId="2B991233">
            <w:pPr>
              <w:widowControl/>
              <w:spacing w:line="240" w:lineRule="exact"/>
              <w:jc w:val="left"/>
              <w:textAlignment w:val="center"/>
              <w:rPr>
                <w:rFonts w:hint="eastAsia" w:ascii="宋体" w:hAnsi="宋体" w:eastAsia="宋体" w:cs="宋体"/>
                <w:color w:val="000000"/>
                <w:kern w:val="0"/>
                <w:sz w:val="18"/>
                <w:szCs w:val="18"/>
                <w:lang w:eastAsia="zh-CN"/>
              </w:rPr>
            </w:pPr>
            <w:r>
              <w:rPr>
                <w:rFonts w:hint="eastAsia" w:ascii="宋体" w:hAnsi="宋体" w:cs="宋体"/>
                <w:color w:val="000000"/>
                <w:kern w:val="0"/>
                <w:sz w:val="18"/>
                <w:szCs w:val="18"/>
              </w:rPr>
              <w:t>1.加强业务学习。</w:t>
            </w:r>
          </w:p>
          <w:p w14:paraId="402FDCF4">
            <w:pPr>
              <w:widowControl/>
              <w:spacing w:line="240" w:lineRule="exact"/>
              <w:jc w:val="left"/>
              <w:textAlignment w:val="center"/>
              <w:rPr>
                <w:rFonts w:ascii="宋体" w:hAnsi="宋体" w:cs="宋体"/>
                <w:color w:val="000000"/>
                <w:sz w:val="18"/>
                <w:szCs w:val="18"/>
              </w:rPr>
            </w:pPr>
            <w:r>
              <w:rPr>
                <w:rFonts w:hint="eastAsia" w:ascii="宋体" w:hAnsi="宋体" w:cs="宋体"/>
                <w:color w:val="000000"/>
                <w:kern w:val="0"/>
                <w:sz w:val="18"/>
                <w:szCs w:val="18"/>
              </w:rPr>
              <w:t>2.建立随机抽查监管机制，对承接事项进行跟踪检查。</w:t>
            </w:r>
          </w:p>
        </w:tc>
        <w:tc>
          <w:tcPr>
            <w:tcW w:w="597" w:type="dxa"/>
            <w:gridSpan w:val="2"/>
            <w:tcBorders>
              <w:top w:val="single" w:color="000000" w:sz="4" w:space="0"/>
              <w:left w:val="single" w:color="000000" w:sz="4" w:space="0"/>
              <w:bottom w:val="single" w:color="000000" w:sz="4" w:space="0"/>
              <w:right w:val="single" w:color="000000" w:sz="4" w:space="0"/>
            </w:tcBorders>
            <w:vAlign w:val="center"/>
          </w:tcPr>
          <w:p w14:paraId="332FD0C5">
            <w:pPr>
              <w:spacing w:line="240" w:lineRule="exact"/>
              <w:jc w:val="left"/>
              <w:rPr>
                <w:rFonts w:ascii="宋体" w:hAnsi="宋体" w:cs="宋体"/>
                <w:color w:val="000000"/>
                <w:sz w:val="18"/>
                <w:szCs w:val="18"/>
              </w:rPr>
            </w:pPr>
          </w:p>
        </w:tc>
      </w:tr>
      <w:tr w14:paraId="5337C10D">
        <w:tblPrEx>
          <w:tblCellMar>
            <w:top w:w="0" w:type="dxa"/>
            <w:left w:w="108" w:type="dxa"/>
            <w:bottom w:w="0" w:type="dxa"/>
            <w:right w:w="108" w:type="dxa"/>
          </w:tblCellMar>
        </w:tblPrEx>
        <w:trPr>
          <w:trHeight w:val="90" w:hRule="atLeast"/>
          <w:jc w:val="center"/>
        </w:trPr>
        <w:tc>
          <w:tcPr>
            <w:tcW w:w="758" w:type="dxa"/>
            <w:tcBorders>
              <w:top w:val="single" w:color="000000" w:sz="4" w:space="0"/>
              <w:left w:val="single" w:color="000000" w:sz="4" w:space="0"/>
              <w:bottom w:val="single" w:color="000000" w:sz="4" w:space="0"/>
              <w:right w:val="single" w:color="000000" w:sz="4" w:space="0"/>
            </w:tcBorders>
            <w:vAlign w:val="center"/>
          </w:tcPr>
          <w:p w14:paraId="08254B74">
            <w:pPr>
              <w:widowControl/>
              <w:spacing w:line="240" w:lineRule="exact"/>
              <w:jc w:val="center"/>
              <w:textAlignment w:val="center"/>
              <w:rPr>
                <w:rFonts w:ascii="宋体" w:hAnsi="宋体" w:cs="宋体"/>
                <w:color w:val="000000"/>
                <w:sz w:val="18"/>
                <w:szCs w:val="18"/>
              </w:rPr>
            </w:pPr>
            <w:r>
              <w:rPr>
                <w:rFonts w:hint="eastAsia" w:ascii="宋体" w:hAnsi="宋体" w:cs="宋体"/>
                <w:color w:val="000000"/>
                <w:kern w:val="0"/>
                <w:sz w:val="18"/>
                <w:szCs w:val="18"/>
              </w:rPr>
              <w:t>15</w:t>
            </w:r>
          </w:p>
        </w:tc>
        <w:tc>
          <w:tcPr>
            <w:tcW w:w="1147" w:type="dxa"/>
            <w:tcBorders>
              <w:top w:val="single" w:color="000000" w:sz="4" w:space="0"/>
              <w:left w:val="single" w:color="000000" w:sz="4" w:space="0"/>
              <w:bottom w:val="single" w:color="000000" w:sz="4" w:space="0"/>
              <w:right w:val="single" w:color="000000" w:sz="4" w:space="0"/>
            </w:tcBorders>
            <w:vAlign w:val="center"/>
          </w:tcPr>
          <w:p w14:paraId="49B353FC">
            <w:pPr>
              <w:widowControl/>
              <w:spacing w:line="240" w:lineRule="exact"/>
              <w:jc w:val="left"/>
              <w:textAlignment w:val="center"/>
              <w:rPr>
                <w:rFonts w:ascii="宋体" w:hAnsi="宋体" w:cs="宋体"/>
                <w:color w:val="000000"/>
                <w:sz w:val="18"/>
                <w:szCs w:val="18"/>
              </w:rPr>
            </w:pPr>
            <w:r>
              <w:rPr>
                <w:rFonts w:hint="eastAsia" w:ascii="宋体" w:hAnsi="宋体" w:cs="宋体"/>
                <w:color w:val="000000"/>
                <w:kern w:val="0"/>
                <w:sz w:val="18"/>
                <w:szCs w:val="18"/>
              </w:rPr>
              <w:t>种子生产经营者在种子生产经营许可证载明的有效区域设立分支机构备案</w:t>
            </w:r>
          </w:p>
        </w:tc>
        <w:tc>
          <w:tcPr>
            <w:tcW w:w="998" w:type="dxa"/>
            <w:tcBorders>
              <w:top w:val="single" w:color="000000" w:sz="4" w:space="0"/>
              <w:left w:val="single" w:color="000000" w:sz="4" w:space="0"/>
              <w:bottom w:val="single" w:color="000000" w:sz="4" w:space="0"/>
              <w:right w:val="single" w:color="000000" w:sz="4" w:space="0"/>
            </w:tcBorders>
            <w:vAlign w:val="center"/>
          </w:tcPr>
          <w:p w14:paraId="62198556">
            <w:pPr>
              <w:spacing w:line="240" w:lineRule="exact"/>
              <w:jc w:val="left"/>
              <w:rPr>
                <w:rFonts w:ascii="宋体" w:hAnsi="宋体" w:cs="宋体"/>
                <w:color w:val="000000"/>
                <w:sz w:val="18"/>
                <w:szCs w:val="18"/>
              </w:rPr>
            </w:pPr>
          </w:p>
        </w:tc>
        <w:tc>
          <w:tcPr>
            <w:tcW w:w="966" w:type="dxa"/>
            <w:tcBorders>
              <w:top w:val="single" w:color="000000" w:sz="4" w:space="0"/>
              <w:left w:val="single" w:color="000000" w:sz="4" w:space="0"/>
              <w:bottom w:val="single" w:color="000000" w:sz="4" w:space="0"/>
              <w:right w:val="single" w:color="000000" w:sz="4" w:space="0"/>
            </w:tcBorders>
            <w:vAlign w:val="center"/>
          </w:tcPr>
          <w:p w14:paraId="67686710">
            <w:pPr>
              <w:widowControl/>
              <w:spacing w:line="240" w:lineRule="exact"/>
              <w:jc w:val="center"/>
              <w:textAlignment w:val="center"/>
              <w:rPr>
                <w:rFonts w:ascii="宋体" w:hAnsi="宋体" w:cs="宋体"/>
                <w:color w:val="000000"/>
                <w:sz w:val="18"/>
                <w:szCs w:val="18"/>
              </w:rPr>
            </w:pPr>
            <w:r>
              <w:rPr>
                <w:rFonts w:hint="eastAsia" w:ascii="宋体" w:hAnsi="宋体" w:cs="宋体"/>
                <w:color w:val="000000"/>
                <w:kern w:val="0"/>
                <w:sz w:val="18"/>
                <w:szCs w:val="18"/>
              </w:rPr>
              <w:t>其他行政权力</w:t>
            </w:r>
          </w:p>
        </w:tc>
        <w:tc>
          <w:tcPr>
            <w:tcW w:w="2869" w:type="dxa"/>
            <w:tcBorders>
              <w:top w:val="single" w:color="000000" w:sz="4" w:space="0"/>
              <w:left w:val="single" w:color="000000" w:sz="4" w:space="0"/>
              <w:bottom w:val="single" w:color="000000" w:sz="4" w:space="0"/>
              <w:right w:val="single" w:color="000000" w:sz="4" w:space="0"/>
            </w:tcBorders>
            <w:vAlign w:val="center"/>
          </w:tcPr>
          <w:p w14:paraId="7DF6F1F5">
            <w:pPr>
              <w:widowControl/>
              <w:spacing w:line="240" w:lineRule="exact"/>
              <w:jc w:val="left"/>
              <w:textAlignment w:val="center"/>
              <w:rPr>
                <w:rFonts w:hint="eastAsia" w:ascii="宋体" w:hAnsi="宋体" w:eastAsia="宋体" w:cs="宋体"/>
                <w:color w:val="000000"/>
                <w:spacing w:val="-6"/>
                <w:kern w:val="0"/>
                <w:sz w:val="18"/>
                <w:szCs w:val="18"/>
                <w:lang w:eastAsia="zh-CN"/>
              </w:rPr>
            </w:pPr>
            <w:r>
              <w:rPr>
                <w:rFonts w:hint="eastAsia" w:ascii="宋体" w:hAnsi="宋体" w:cs="宋体"/>
                <w:color w:val="000000"/>
                <w:kern w:val="0"/>
                <w:sz w:val="18"/>
                <w:szCs w:val="18"/>
              </w:rPr>
              <w:t>【法律】《中华人民共和国种子法》（2000年7月8日主席令第三十四号，2015年11月4日予以修改） 第三十八条 种子生产经营许可证的有效区域由发证机关在其管辖范围内确定。种子生产经营者在种子生产经营许可证载明的有效区域设立分</w:t>
            </w:r>
            <w:r>
              <w:rPr>
                <w:rFonts w:hint="eastAsia" w:ascii="宋体" w:hAnsi="宋体" w:cs="宋体"/>
                <w:color w:val="000000"/>
                <w:spacing w:val="-6"/>
                <w:kern w:val="0"/>
                <w:sz w:val="18"/>
                <w:szCs w:val="18"/>
              </w:rPr>
              <w:t>支机构的，专门经营不再分装的包装种子的，或者受具有种子生产经营许可证的种子生产经营者以书面委托生产、代销其种子的，不需要办理种子生产经营许可证，但应当向当地农业、林业主管部门备案。</w:t>
            </w:r>
          </w:p>
          <w:p w14:paraId="6BD5849F">
            <w:pPr>
              <w:widowControl/>
              <w:spacing w:line="240" w:lineRule="exact"/>
              <w:jc w:val="left"/>
              <w:textAlignment w:val="center"/>
              <w:rPr>
                <w:rFonts w:ascii="宋体" w:hAnsi="宋体" w:cs="宋体"/>
                <w:color w:val="000000"/>
                <w:sz w:val="18"/>
                <w:szCs w:val="18"/>
              </w:rPr>
            </w:pPr>
            <w:r>
              <w:rPr>
                <w:rFonts w:hint="eastAsia" w:ascii="宋体" w:hAnsi="宋体" w:cs="宋体"/>
                <w:color w:val="000000"/>
                <w:kern w:val="0"/>
                <w:sz w:val="18"/>
                <w:szCs w:val="18"/>
              </w:rPr>
              <w:t>【规章】《农作物种子生产经营许可管理办法》（根据2017年11月30日农业部令2017年第8号《农</w:t>
            </w:r>
            <w:r>
              <w:rPr>
                <w:rFonts w:hint="eastAsia" w:ascii="宋体" w:hAnsi="宋体" w:cs="宋体"/>
                <w:color w:val="000000"/>
                <w:spacing w:val="-6"/>
                <w:kern w:val="0"/>
                <w:sz w:val="18"/>
                <w:szCs w:val="18"/>
              </w:rPr>
              <w:t>业部关于修改和废止部分规章、规范性文件的决定》修正，农业农村部令2019年第2号修订） 第二十二条 种子生产经营者在种子生产经营许可证载明有效区域设立的分支机构，应当在取得或变更分支机构营业执照后十五个工作日内向当地县级农业主管部门备案。第二十三条 专门经营不再分装的包装种子或者受具有种子生产经营许可证的企业书面委托代销其种子的，应当在种子销售前向当地县级农业主管部门备案，并建立种子销售台账。第二十四条 受具有种子生产经营许可证的企业书面委托生产其种子的，应当在种子播种前向当地县级农业主管部门备案。</w:t>
            </w:r>
          </w:p>
        </w:tc>
        <w:tc>
          <w:tcPr>
            <w:tcW w:w="927" w:type="dxa"/>
            <w:tcBorders>
              <w:top w:val="single" w:color="000000" w:sz="4" w:space="0"/>
              <w:left w:val="single" w:color="000000" w:sz="4" w:space="0"/>
              <w:bottom w:val="single" w:color="000000" w:sz="4" w:space="0"/>
              <w:right w:val="single" w:color="000000" w:sz="4" w:space="0"/>
            </w:tcBorders>
            <w:vAlign w:val="center"/>
          </w:tcPr>
          <w:p w14:paraId="6FD34BCC">
            <w:pPr>
              <w:widowControl/>
              <w:spacing w:line="240" w:lineRule="exact"/>
              <w:jc w:val="center"/>
              <w:textAlignment w:val="center"/>
              <w:rPr>
                <w:rFonts w:ascii="宋体" w:hAnsi="宋体" w:cs="宋体"/>
                <w:color w:val="000000"/>
                <w:kern w:val="0"/>
                <w:sz w:val="18"/>
                <w:szCs w:val="18"/>
              </w:rPr>
            </w:pPr>
            <w:r>
              <w:rPr>
                <w:rFonts w:hint="eastAsia" w:ascii="宋体" w:hAnsi="宋体" w:cs="宋体"/>
                <w:color w:val="000000"/>
                <w:kern w:val="0"/>
                <w:sz w:val="18"/>
                <w:szCs w:val="18"/>
              </w:rPr>
              <w:t>县农业</w:t>
            </w:r>
          </w:p>
          <w:p w14:paraId="04AE9679">
            <w:pPr>
              <w:widowControl/>
              <w:spacing w:line="240" w:lineRule="exact"/>
              <w:jc w:val="center"/>
              <w:textAlignment w:val="center"/>
              <w:rPr>
                <w:rFonts w:ascii="宋体" w:hAnsi="宋体" w:cs="宋体"/>
                <w:color w:val="000000"/>
                <w:sz w:val="18"/>
                <w:szCs w:val="18"/>
              </w:rPr>
            </w:pPr>
            <w:r>
              <w:rPr>
                <w:rFonts w:hint="eastAsia" w:ascii="宋体" w:hAnsi="宋体" w:cs="宋体"/>
                <w:color w:val="000000"/>
                <w:kern w:val="0"/>
                <w:sz w:val="18"/>
                <w:szCs w:val="18"/>
              </w:rPr>
              <w:t>农村局</w:t>
            </w:r>
          </w:p>
        </w:tc>
        <w:tc>
          <w:tcPr>
            <w:tcW w:w="924" w:type="dxa"/>
            <w:tcBorders>
              <w:top w:val="single" w:color="000000" w:sz="4" w:space="0"/>
              <w:left w:val="single" w:color="000000" w:sz="4" w:space="0"/>
              <w:bottom w:val="single" w:color="000000" w:sz="4" w:space="0"/>
              <w:right w:val="single" w:color="000000" w:sz="4" w:space="0"/>
            </w:tcBorders>
            <w:vAlign w:val="center"/>
          </w:tcPr>
          <w:p w14:paraId="5B15104A">
            <w:pPr>
              <w:widowControl/>
              <w:spacing w:line="240" w:lineRule="exact"/>
              <w:jc w:val="center"/>
              <w:textAlignment w:val="center"/>
              <w:rPr>
                <w:rFonts w:ascii="宋体" w:hAnsi="宋体" w:cs="宋体"/>
                <w:color w:val="000000"/>
                <w:sz w:val="18"/>
                <w:szCs w:val="18"/>
              </w:rPr>
            </w:pPr>
            <w:r>
              <w:rPr>
                <w:rFonts w:hint="eastAsia" w:ascii="宋体" w:hAnsi="宋体" w:cs="宋体"/>
                <w:color w:val="000000"/>
                <w:kern w:val="0"/>
                <w:sz w:val="18"/>
                <w:szCs w:val="18"/>
              </w:rPr>
              <w:t>承接</w:t>
            </w:r>
          </w:p>
        </w:tc>
        <w:tc>
          <w:tcPr>
            <w:tcW w:w="1020" w:type="dxa"/>
            <w:tcBorders>
              <w:top w:val="single" w:color="000000" w:sz="4" w:space="0"/>
              <w:left w:val="single" w:color="000000" w:sz="4" w:space="0"/>
              <w:bottom w:val="single" w:color="000000" w:sz="4" w:space="0"/>
              <w:right w:val="single" w:color="000000" w:sz="4" w:space="0"/>
            </w:tcBorders>
            <w:vAlign w:val="center"/>
          </w:tcPr>
          <w:p w14:paraId="34F1BA67">
            <w:pPr>
              <w:widowControl/>
              <w:spacing w:line="240" w:lineRule="exact"/>
              <w:jc w:val="left"/>
              <w:textAlignment w:val="center"/>
              <w:rPr>
                <w:rFonts w:hint="eastAsia" w:ascii="宋体" w:hAnsi="宋体" w:eastAsia="宋体" w:cs="宋体"/>
                <w:color w:val="000000"/>
                <w:kern w:val="0"/>
                <w:sz w:val="18"/>
                <w:szCs w:val="18"/>
                <w:lang w:eastAsia="zh-CN"/>
              </w:rPr>
            </w:pPr>
            <w:r>
              <w:rPr>
                <w:rFonts w:hint="eastAsia" w:ascii="宋体" w:hAnsi="宋体" w:cs="宋体"/>
                <w:color w:val="000000"/>
                <w:kern w:val="0"/>
                <w:sz w:val="18"/>
                <w:szCs w:val="18"/>
              </w:rPr>
              <w:t>1.加强业务学习。</w:t>
            </w:r>
          </w:p>
          <w:p w14:paraId="651EF2BB">
            <w:pPr>
              <w:widowControl/>
              <w:spacing w:line="240" w:lineRule="exact"/>
              <w:jc w:val="left"/>
              <w:textAlignment w:val="center"/>
              <w:rPr>
                <w:rFonts w:ascii="宋体" w:hAnsi="宋体" w:cs="宋体"/>
                <w:color w:val="000000"/>
                <w:sz w:val="18"/>
                <w:szCs w:val="18"/>
              </w:rPr>
            </w:pPr>
            <w:r>
              <w:rPr>
                <w:rFonts w:hint="eastAsia" w:ascii="宋体" w:hAnsi="宋体" w:cs="宋体"/>
                <w:color w:val="000000"/>
                <w:kern w:val="0"/>
                <w:sz w:val="18"/>
                <w:szCs w:val="18"/>
              </w:rPr>
              <w:t>2.建立随机抽查监管机制，对承接事项进行跟踪检查。</w:t>
            </w:r>
          </w:p>
        </w:tc>
        <w:tc>
          <w:tcPr>
            <w:tcW w:w="597" w:type="dxa"/>
            <w:gridSpan w:val="2"/>
            <w:tcBorders>
              <w:top w:val="single" w:color="000000" w:sz="4" w:space="0"/>
              <w:left w:val="single" w:color="000000" w:sz="4" w:space="0"/>
              <w:bottom w:val="single" w:color="000000" w:sz="4" w:space="0"/>
              <w:right w:val="single" w:color="000000" w:sz="4" w:space="0"/>
            </w:tcBorders>
            <w:vAlign w:val="center"/>
          </w:tcPr>
          <w:p w14:paraId="7AE9D5E5">
            <w:pPr>
              <w:spacing w:line="240" w:lineRule="exact"/>
              <w:jc w:val="left"/>
              <w:rPr>
                <w:rFonts w:ascii="宋体" w:hAnsi="宋体" w:cs="宋体"/>
                <w:color w:val="000000"/>
                <w:sz w:val="18"/>
                <w:szCs w:val="18"/>
              </w:rPr>
            </w:pPr>
          </w:p>
        </w:tc>
      </w:tr>
      <w:tr w14:paraId="52D7B669">
        <w:tblPrEx>
          <w:tblCellMar>
            <w:top w:w="0" w:type="dxa"/>
            <w:left w:w="108" w:type="dxa"/>
            <w:bottom w:w="0" w:type="dxa"/>
            <w:right w:w="108" w:type="dxa"/>
          </w:tblCellMar>
        </w:tblPrEx>
        <w:trPr>
          <w:trHeight w:val="90" w:hRule="atLeast"/>
          <w:jc w:val="center"/>
        </w:trPr>
        <w:tc>
          <w:tcPr>
            <w:tcW w:w="758" w:type="dxa"/>
            <w:tcBorders>
              <w:top w:val="single" w:color="000000" w:sz="4" w:space="0"/>
              <w:left w:val="single" w:color="000000" w:sz="4" w:space="0"/>
              <w:bottom w:val="single" w:color="000000" w:sz="4" w:space="0"/>
              <w:right w:val="single" w:color="000000" w:sz="4" w:space="0"/>
            </w:tcBorders>
            <w:vAlign w:val="center"/>
          </w:tcPr>
          <w:p w14:paraId="21C45ABA">
            <w:pPr>
              <w:widowControl/>
              <w:spacing w:line="240" w:lineRule="exact"/>
              <w:jc w:val="center"/>
              <w:textAlignment w:val="center"/>
              <w:rPr>
                <w:rFonts w:ascii="宋体" w:hAnsi="宋体" w:cs="宋体"/>
                <w:color w:val="000000"/>
                <w:sz w:val="18"/>
                <w:szCs w:val="18"/>
              </w:rPr>
            </w:pPr>
            <w:r>
              <w:rPr>
                <w:rFonts w:hint="eastAsia" w:ascii="宋体" w:hAnsi="宋体" w:cs="宋体"/>
                <w:color w:val="000000"/>
                <w:kern w:val="0"/>
                <w:sz w:val="18"/>
                <w:szCs w:val="18"/>
              </w:rPr>
              <w:t>16</w:t>
            </w:r>
          </w:p>
        </w:tc>
        <w:tc>
          <w:tcPr>
            <w:tcW w:w="1147" w:type="dxa"/>
            <w:tcBorders>
              <w:top w:val="single" w:color="000000" w:sz="4" w:space="0"/>
              <w:left w:val="single" w:color="000000" w:sz="4" w:space="0"/>
              <w:bottom w:val="single" w:color="000000" w:sz="4" w:space="0"/>
              <w:right w:val="single" w:color="000000" w:sz="4" w:space="0"/>
            </w:tcBorders>
            <w:vAlign w:val="center"/>
          </w:tcPr>
          <w:p w14:paraId="12737B0A">
            <w:pPr>
              <w:widowControl/>
              <w:spacing w:line="240" w:lineRule="exact"/>
              <w:jc w:val="left"/>
              <w:textAlignment w:val="center"/>
              <w:rPr>
                <w:rFonts w:ascii="宋体" w:hAnsi="宋体" w:cs="宋体"/>
                <w:color w:val="000000"/>
                <w:sz w:val="18"/>
                <w:szCs w:val="18"/>
              </w:rPr>
            </w:pPr>
            <w:r>
              <w:rPr>
                <w:rFonts w:hint="eastAsia" w:ascii="宋体" w:hAnsi="宋体" w:cs="宋体"/>
                <w:color w:val="000000"/>
                <w:kern w:val="0"/>
                <w:sz w:val="18"/>
                <w:szCs w:val="18"/>
              </w:rPr>
              <w:t>农作物种子质量纠纷田间现场鉴定</w:t>
            </w:r>
          </w:p>
        </w:tc>
        <w:tc>
          <w:tcPr>
            <w:tcW w:w="998" w:type="dxa"/>
            <w:tcBorders>
              <w:top w:val="single" w:color="000000" w:sz="4" w:space="0"/>
              <w:left w:val="single" w:color="000000" w:sz="4" w:space="0"/>
              <w:bottom w:val="single" w:color="000000" w:sz="4" w:space="0"/>
              <w:right w:val="single" w:color="000000" w:sz="4" w:space="0"/>
            </w:tcBorders>
            <w:vAlign w:val="center"/>
          </w:tcPr>
          <w:p w14:paraId="508A9A33">
            <w:pPr>
              <w:spacing w:line="240" w:lineRule="exact"/>
              <w:jc w:val="left"/>
              <w:rPr>
                <w:rFonts w:ascii="宋体" w:hAnsi="宋体" w:cs="宋体"/>
                <w:color w:val="000000"/>
                <w:sz w:val="18"/>
                <w:szCs w:val="18"/>
              </w:rPr>
            </w:pPr>
          </w:p>
        </w:tc>
        <w:tc>
          <w:tcPr>
            <w:tcW w:w="966" w:type="dxa"/>
            <w:tcBorders>
              <w:top w:val="single" w:color="000000" w:sz="4" w:space="0"/>
              <w:left w:val="single" w:color="000000" w:sz="4" w:space="0"/>
              <w:bottom w:val="single" w:color="000000" w:sz="4" w:space="0"/>
              <w:right w:val="single" w:color="000000" w:sz="4" w:space="0"/>
            </w:tcBorders>
            <w:vAlign w:val="center"/>
          </w:tcPr>
          <w:p w14:paraId="38340996">
            <w:pPr>
              <w:widowControl/>
              <w:spacing w:line="240" w:lineRule="exact"/>
              <w:jc w:val="center"/>
              <w:textAlignment w:val="center"/>
              <w:rPr>
                <w:rFonts w:ascii="宋体" w:hAnsi="宋体" w:cs="宋体"/>
                <w:color w:val="000000"/>
                <w:sz w:val="18"/>
                <w:szCs w:val="18"/>
              </w:rPr>
            </w:pPr>
            <w:r>
              <w:rPr>
                <w:rFonts w:hint="eastAsia" w:ascii="宋体" w:hAnsi="宋体" w:cs="宋体"/>
                <w:color w:val="000000"/>
                <w:kern w:val="0"/>
                <w:sz w:val="18"/>
                <w:szCs w:val="18"/>
              </w:rPr>
              <w:t>行政确认</w:t>
            </w:r>
          </w:p>
        </w:tc>
        <w:tc>
          <w:tcPr>
            <w:tcW w:w="2869" w:type="dxa"/>
            <w:tcBorders>
              <w:top w:val="single" w:color="000000" w:sz="4" w:space="0"/>
              <w:left w:val="single" w:color="000000" w:sz="4" w:space="0"/>
              <w:bottom w:val="single" w:color="000000" w:sz="4" w:space="0"/>
              <w:right w:val="single" w:color="000000" w:sz="4" w:space="0"/>
            </w:tcBorders>
            <w:vAlign w:val="center"/>
          </w:tcPr>
          <w:p w14:paraId="36C83E31">
            <w:pPr>
              <w:widowControl/>
              <w:spacing w:line="240" w:lineRule="exact"/>
              <w:jc w:val="left"/>
              <w:textAlignment w:val="center"/>
              <w:rPr>
                <w:rFonts w:hint="eastAsia" w:ascii="宋体" w:hAnsi="宋体" w:eastAsia="宋体" w:cs="宋体"/>
                <w:color w:val="000000"/>
                <w:kern w:val="0"/>
                <w:sz w:val="18"/>
                <w:szCs w:val="18"/>
                <w:lang w:eastAsia="zh-CN"/>
              </w:rPr>
            </w:pPr>
            <w:r>
              <w:rPr>
                <w:rFonts w:hint="eastAsia" w:ascii="宋体" w:hAnsi="宋体" w:cs="宋体"/>
                <w:color w:val="000000"/>
                <w:kern w:val="0"/>
                <w:sz w:val="18"/>
                <w:szCs w:val="18"/>
              </w:rPr>
              <w:t>【规章】《农作物种子质量纠纷田间现场鉴定办法》（农业部令2003年第28号）</w:t>
            </w:r>
          </w:p>
          <w:p w14:paraId="194DAD93">
            <w:pPr>
              <w:widowControl/>
              <w:spacing w:line="240" w:lineRule="exact"/>
              <w:jc w:val="left"/>
              <w:textAlignment w:val="center"/>
              <w:rPr>
                <w:rFonts w:ascii="宋体" w:hAnsi="宋体" w:cs="宋体"/>
                <w:color w:val="000000"/>
                <w:sz w:val="18"/>
                <w:szCs w:val="18"/>
              </w:rPr>
            </w:pPr>
            <w:r>
              <w:rPr>
                <w:rFonts w:hint="eastAsia" w:ascii="宋体" w:hAnsi="宋体" w:cs="宋体"/>
                <w:color w:val="000000"/>
                <w:kern w:val="0"/>
                <w:sz w:val="18"/>
                <w:szCs w:val="18"/>
              </w:rPr>
              <w:t>第二条 本办法所称现场鉴定是指农作物种子在大田种植后，因种子质量或者栽培、气候等原因，导致田间出苗、植株生长、作物产量、产品品质等受到影响，双方当事人对造成事故的原因或损失程度存在分歧，为确定事故原因或（和）损失程度而进行的田间现场技术鉴定活动。第三条现场鉴定由田间现场所在地县级以上地方人民政府农业行政主管部门所属的种子管理机构组织实施。</w:t>
            </w:r>
          </w:p>
        </w:tc>
        <w:tc>
          <w:tcPr>
            <w:tcW w:w="927" w:type="dxa"/>
            <w:tcBorders>
              <w:top w:val="single" w:color="000000" w:sz="4" w:space="0"/>
              <w:left w:val="single" w:color="000000" w:sz="4" w:space="0"/>
              <w:bottom w:val="single" w:color="000000" w:sz="4" w:space="0"/>
              <w:right w:val="single" w:color="000000" w:sz="4" w:space="0"/>
            </w:tcBorders>
            <w:vAlign w:val="center"/>
          </w:tcPr>
          <w:p w14:paraId="3BA88467">
            <w:pPr>
              <w:widowControl/>
              <w:spacing w:line="240" w:lineRule="exact"/>
              <w:jc w:val="center"/>
              <w:textAlignment w:val="center"/>
              <w:rPr>
                <w:rFonts w:ascii="宋体" w:hAnsi="宋体" w:cs="宋体"/>
                <w:color w:val="000000"/>
                <w:kern w:val="0"/>
                <w:sz w:val="18"/>
                <w:szCs w:val="18"/>
              </w:rPr>
            </w:pPr>
            <w:r>
              <w:rPr>
                <w:rFonts w:hint="eastAsia" w:ascii="宋体" w:hAnsi="宋体" w:cs="宋体"/>
                <w:color w:val="000000"/>
                <w:kern w:val="0"/>
                <w:sz w:val="18"/>
                <w:szCs w:val="18"/>
              </w:rPr>
              <w:t>县农业</w:t>
            </w:r>
          </w:p>
          <w:p w14:paraId="10CA8BB7">
            <w:pPr>
              <w:widowControl/>
              <w:spacing w:line="240" w:lineRule="exact"/>
              <w:jc w:val="center"/>
              <w:textAlignment w:val="center"/>
              <w:rPr>
                <w:rFonts w:ascii="宋体" w:hAnsi="宋体" w:cs="宋体"/>
                <w:color w:val="000000"/>
                <w:sz w:val="18"/>
                <w:szCs w:val="18"/>
              </w:rPr>
            </w:pPr>
            <w:r>
              <w:rPr>
                <w:rFonts w:hint="eastAsia" w:ascii="宋体" w:hAnsi="宋体" w:cs="宋体"/>
                <w:color w:val="000000"/>
                <w:kern w:val="0"/>
                <w:sz w:val="18"/>
                <w:szCs w:val="18"/>
              </w:rPr>
              <w:t>农村局</w:t>
            </w:r>
          </w:p>
        </w:tc>
        <w:tc>
          <w:tcPr>
            <w:tcW w:w="924" w:type="dxa"/>
            <w:tcBorders>
              <w:top w:val="single" w:color="000000" w:sz="4" w:space="0"/>
              <w:left w:val="single" w:color="000000" w:sz="4" w:space="0"/>
              <w:bottom w:val="single" w:color="000000" w:sz="4" w:space="0"/>
              <w:right w:val="single" w:color="000000" w:sz="4" w:space="0"/>
            </w:tcBorders>
            <w:vAlign w:val="center"/>
          </w:tcPr>
          <w:p w14:paraId="4214A39D">
            <w:pPr>
              <w:widowControl/>
              <w:spacing w:line="240" w:lineRule="exact"/>
              <w:jc w:val="center"/>
              <w:textAlignment w:val="center"/>
              <w:rPr>
                <w:rFonts w:ascii="宋体" w:hAnsi="宋体" w:cs="宋体"/>
                <w:color w:val="000000"/>
                <w:sz w:val="18"/>
                <w:szCs w:val="18"/>
              </w:rPr>
            </w:pPr>
            <w:r>
              <w:rPr>
                <w:rFonts w:hint="eastAsia" w:ascii="宋体" w:hAnsi="宋体" w:cs="宋体"/>
                <w:color w:val="000000"/>
                <w:kern w:val="0"/>
                <w:sz w:val="18"/>
                <w:szCs w:val="18"/>
              </w:rPr>
              <w:t>承接</w:t>
            </w:r>
          </w:p>
        </w:tc>
        <w:tc>
          <w:tcPr>
            <w:tcW w:w="1020" w:type="dxa"/>
            <w:tcBorders>
              <w:top w:val="single" w:color="000000" w:sz="4" w:space="0"/>
              <w:left w:val="single" w:color="000000" w:sz="4" w:space="0"/>
              <w:bottom w:val="single" w:color="000000" w:sz="4" w:space="0"/>
              <w:right w:val="single" w:color="000000" w:sz="4" w:space="0"/>
            </w:tcBorders>
            <w:vAlign w:val="center"/>
          </w:tcPr>
          <w:p w14:paraId="01730759">
            <w:pPr>
              <w:widowControl/>
              <w:spacing w:line="240" w:lineRule="exact"/>
              <w:jc w:val="left"/>
              <w:textAlignment w:val="center"/>
              <w:rPr>
                <w:rFonts w:hint="eastAsia" w:ascii="宋体" w:hAnsi="宋体" w:eastAsia="宋体" w:cs="宋体"/>
                <w:color w:val="000000"/>
                <w:kern w:val="0"/>
                <w:sz w:val="18"/>
                <w:szCs w:val="18"/>
                <w:lang w:eastAsia="zh-CN"/>
              </w:rPr>
            </w:pPr>
            <w:r>
              <w:rPr>
                <w:rFonts w:hint="eastAsia" w:ascii="宋体" w:hAnsi="宋体" w:cs="宋体"/>
                <w:color w:val="000000"/>
                <w:kern w:val="0"/>
                <w:sz w:val="18"/>
                <w:szCs w:val="18"/>
              </w:rPr>
              <w:t>1.加强业务学习。</w:t>
            </w:r>
          </w:p>
          <w:p w14:paraId="7CFBE828">
            <w:pPr>
              <w:widowControl/>
              <w:spacing w:line="240" w:lineRule="exact"/>
              <w:jc w:val="left"/>
              <w:textAlignment w:val="center"/>
              <w:rPr>
                <w:rFonts w:ascii="宋体" w:hAnsi="宋体" w:cs="宋体"/>
                <w:color w:val="000000"/>
                <w:sz w:val="18"/>
                <w:szCs w:val="18"/>
              </w:rPr>
            </w:pPr>
            <w:r>
              <w:rPr>
                <w:rFonts w:hint="eastAsia" w:ascii="宋体" w:hAnsi="宋体" w:cs="宋体"/>
                <w:color w:val="000000"/>
                <w:kern w:val="0"/>
                <w:sz w:val="18"/>
                <w:szCs w:val="18"/>
              </w:rPr>
              <w:t>2.建立随机抽查监管机制，对承接事项进行跟踪检查。</w:t>
            </w:r>
          </w:p>
        </w:tc>
        <w:tc>
          <w:tcPr>
            <w:tcW w:w="597" w:type="dxa"/>
            <w:gridSpan w:val="2"/>
            <w:tcBorders>
              <w:top w:val="single" w:color="000000" w:sz="4" w:space="0"/>
              <w:left w:val="single" w:color="000000" w:sz="4" w:space="0"/>
              <w:bottom w:val="single" w:color="000000" w:sz="4" w:space="0"/>
              <w:right w:val="single" w:color="000000" w:sz="4" w:space="0"/>
            </w:tcBorders>
            <w:vAlign w:val="center"/>
          </w:tcPr>
          <w:p w14:paraId="10DBF007">
            <w:pPr>
              <w:spacing w:line="240" w:lineRule="exact"/>
              <w:jc w:val="left"/>
              <w:rPr>
                <w:rFonts w:ascii="宋体" w:hAnsi="宋体" w:cs="宋体"/>
                <w:color w:val="000000"/>
                <w:sz w:val="18"/>
                <w:szCs w:val="18"/>
              </w:rPr>
            </w:pPr>
          </w:p>
        </w:tc>
      </w:tr>
      <w:tr w14:paraId="3308ADB9">
        <w:tblPrEx>
          <w:tblCellMar>
            <w:top w:w="0" w:type="dxa"/>
            <w:left w:w="108" w:type="dxa"/>
            <w:bottom w:w="0" w:type="dxa"/>
            <w:right w:w="108" w:type="dxa"/>
          </w:tblCellMar>
        </w:tblPrEx>
        <w:trPr>
          <w:trHeight w:val="90" w:hRule="atLeast"/>
          <w:jc w:val="center"/>
        </w:trPr>
        <w:tc>
          <w:tcPr>
            <w:tcW w:w="758" w:type="dxa"/>
            <w:tcBorders>
              <w:top w:val="single" w:color="000000" w:sz="4" w:space="0"/>
              <w:left w:val="single" w:color="000000" w:sz="4" w:space="0"/>
              <w:bottom w:val="single" w:color="000000" w:sz="4" w:space="0"/>
              <w:right w:val="single" w:color="000000" w:sz="4" w:space="0"/>
            </w:tcBorders>
            <w:vAlign w:val="center"/>
          </w:tcPr>
          <w:p w14:paraId="5F7719A2">
            <w:pPr>
              <w:widowControl/>
              <w:spacing w:line="240" w:lineRule="exact"/>
              <w:jc w:val="center"/>
              <w:textAlignment w:val="center"/>
              <w:rPr>
                <w:rFonts w:ascii="宋体" w:hAnsi="宋体" w:cs="宋体"/>
                <w:color w:val="000000"/>
                <w:sz w:val="18"/>
                <w:szCs w:val="18"/>
              </w:rPr>
            </w:pPr>
            <w:r>
              <w:rPr>
                <w:rFonts w:hint="eastAsia" w:ascii="宋体" w:hAnsi="宋体" w:cs="宋体"/>
                <w:color w:val="000000"/>
                <w:kern w:val="0"/>
                <w:sz w:val="18"/>
                <w:szCs w:val="18"/>
              </w:rPr>
              <w:t>17</w:t>
            </w:r>
          </w:p>
        </w:tc>
        <w:tc>
          <w:tcPr>
            <w:tcW w:w="1147" w:type="dxa"/>
            <w:tcBorders>
              <w:top w:val="single" w:color="000000" w:sz="4" w:space="0"/>
              <w:left w:val="single" w:color="000000" w:sz="4" w:space="0"/>
              <w:bottom w:val="single" w:color="000000" w:sz="4" w:space="0"/>
              <w:right w:val="single" w:color="000000" w:sz="4" w:space="0"/>
            </w:tcBorders>
            <w:vAlign w:val="center"/>
          </w:tcPr>
          <w:p w14:paraId="3785D850">
            <w:pPr>
              <w:widowControl/>
              <w:spacing w:line="240" w:lineRule="exact"/>
              <w:jc w:val="left"/>
              <w:textAlignment w:val="center"/>
              <w:rPr>
                <w:rFonts w:ascii="宋体" w:hAnsi="宋体" w:cs="宋体"/>
                <w:color w:val="000000"/>
                <w:sz w:val="18"/>
                <w:szCs w:val="18"/>
              </w:rPr>
            </w:pPr>
            <w:r>
              <w:rPr>
                <w:rFonts w:hint="eastAsia" w:ascii="宋体" w:hAnsi="宋体" w:cs="宋体"/>
                <w:color w:val="000000"/>
                <w:kern w:val="0"/>
                <w:sz w:val="18"/>
                <w:szCs w:val="18"/>
              </w:rPr>
              <w:t>种子种苗产地检疫</w:t>
            </w:r>
          </w:p>
        </w:tc>
        <w:tc>
          <w:tcPr>
            <w:tcW w:w="998" w:type="dxa"/>
            <w:tcBorders>
              <w:top w:val="single" w:color="000000" w:sz="4" w:space="0"/>
              <w:left w:val="single" w:color="000000" w:sz="4" w:space="0"/>
              <w:bottom w:val="single" w:color="000000" w:sz="4" w:space="0"/>
              <w:right w:val="single" w:color="000000" w:sz="4" w:space="0"/>
            </w:tcBorders>
            <w:vAlign w:val="center"/>
          </w:tcPr>
          <w:p w14:paraId="57CE447E">
            <w:pPr>
              <w:spacing w:line="240" w:lineRule="exact"/>
              <w:jc w:val="left"/>
              <w:rPr>
                <w:rFonts w:ascii="宋体" w:hAnsi="宋体" w:cs="宋体"/>
                <w:color w:val="000000"/>
                <w:sz w:val="18"/>
                <w:szCs w:val="18"/>
              </w:rPr>
            </w:pPr>
          </w:p>
        </w:tc>
        <w:tc>
          <w:tcPr>
            <w:tcW w:w="966" w:type="dxa"/>
            <w:tcBorders>
              <w:top w:val="single" w:color="000000" w:sz="4" w:space="0"/>
              <w:left w:val="single" w:color="000000" w:sz="4" w:space="0"/>
              <w:bottom w:val="single" w:color="000000" w:sz="4" w:space="0"/>
              <w:right w:val="single" w:color="000000" w:sz="4" w:space="0"/>
            </w:tcBorders>
            <w:vAlign w:val="center"/>
          </w:tcPr>
          <w:p w14:paraId="5C7FABAA">
            <w:pPr>
              <w:widowControl/>
              <w:spacing w:line="240" w:lineRule="exact"/>
              <w:jc w:val="center"/>
              <w:textAlignment w:val="center"/>
              <w:rPr>
                <w:rFonts w:ascii="宋体" w:hAnsi="宋体" w:cs="宋体"/>
                <w:color w:val="000000"/>
                <w:sz w:val="18"/>
                <w:szCs w:val="18"/>
              </w:rPr>
            </w:pPr>
            <w:r>
              <w:rPr>
                <w:rFonts w:hint="eastAsia" w:ascii="宋体" w:hAnsi="宋体" w:cs="宋体"/>
                <w:color w:val="000000"/>
                <w:kern w:val="0"/>
                <w:sz w:val="18"/>
                <w:szCs w:val="18"/>
              </w:rPr>
              <w:t>行政确认</w:t>
            </w:r>
          </w:p>
        </w:tc>
        <w:tc>
          <w:tcPr>
            <w:tcW w:w="2869" w:type="dxa"/>
            <w:tcBorders>
              <w:top w:val="single" w:color="000000" w:sz="4" w:space="0"/>
              <w:left w:val="single" w:color="000000" w:sz="4" w:space="0"/>
              <w:bottom w:val="single" w:color="000000" w:sz="4" w:space="0"/>
              <w:right w:val="single" w:color="000000" w:sz="4" w:space="0"/>
            </w:tcBorders>
            <w:vAlign w:val="center"/>
          </w:tcPr>
          <w:p w14:paraId="37350F25">
            <w:pPr>
              <w:widowControl/>
              <w:spacing w:line="230" w:lineRule="exact"/>
              <w:jc w:val="left"/>
              <w:textAlignment w:val="center"/>
              <w:rPr>
                <w:rFonts w:hint="eastAsia" w:ascii="宋体" w:hAnsi="宋体" w:eastAsia="宋体" w:cs="宋体"/>
                <w:color w:val="000000"/>
                <w:kern w:val="0"/>
                <w:sz w:val="18"/>
                <w:szCs w:val="18"/>
                <w:lang w:eastAsia="zh-CN"/>
              </w:rPr>
            </w:pPr>
            <w:r>
              <w:rPr>
                <w:rFonts w:hint="eastAsia" w:ascii="宋体" w:hAnsi="宋体" w:cs="宋体"/>
                <w:color w:val="000000"/>
                <w:kern w:val="0"/>
                <w:sz w:val="18"/>
                <w:szCs w:val="18"/>
              </w:rPr>
              <w:t>【行政法规】《植物检疫条例》（1983年1月3日国务院发布，1992年5月13日修订）</w:t>
            </w:r>
          </w:p>
          <w:p w14:paraId="4B5A4A45">
            <w:pPr>
              <w:widowControl/>
              <w:spacing w:line="230" w:lineRule="exact"/>
              <w:jc w:val="left"/>
              <w:textAlignment w:val="center"/>
              <w:rPr>
                <w:rFonts w:hint="eastAsia" w:ascii="宋体" w:hAnsi="宋体" w:eastAsia="宋体" w:cs="宋体"/>
                <w:color w:val="000000"/>
                <w:spacing w:val="-11"/>
                <w:kern w:val="0"/>
                <w:sz w:val="18"/>
                <w:szCs w:val="18"/>
                <w:lang w:eastAsia="zh-CN"/>
              </w:rPr>
            </w:pPr>
            <w:r>
              <w:rPr>
                <w:rFonts w:hint="eastAsia" w:ascii="宋体" w:hAnsi="宋体" w:cs="宋体"/>
                <w:color w:val="000000"/>
                <w:spacing w:val="-11"/>
                <w:kern w:val="0"/>
                <w:sz w:val="18"/>
                <w:szCs w:val="18"/>
              </w:rPr>
              <w:t>第十一条 试验、推广的种子、苗木和其他繁殖材料，不得带有植物检疫对象。植物检疫机构应实施产地检疫。</w:t>
            </w:r>
          </w:p>
          <w:p w14:paraId="7F8CDC2B">
            <w:pPr>
              <w:widowControl/>
              <w:spacing w:line="230" w:lineRule="exact"/>
              <w:jc w:val="left"/>
              <w:textAlignment w:val="center"/>
              <w:rPr>
                <w:rFonts w:hint="eastAsia" w:ascii="宋体" w:hAnsi="宋体" w:eastAsia="宋体" w:cs="宋体"/>
                <w:color w:val="000000"/>
                <w:kern w:val="0"/>
                <w:sz w:val="18"/>
                <w:szCs w:val="18"/>
                <w:lang w:eastAsia="zh-CN"/>
              </w:rPr>
            </w:pPr>
            <w:r>
              <w:rPr>
                <w:rFonts w:hint="eastAsia" w:ascii="宋体" w:hAnsi="宋体" w:cs="宋体"/>
                <w:color w:val="000000"/>
                <w:kern w:val="0"/>
                <w:sz w:val="18"/>
                <w:szCs w:val="18"/>
              </w:rPr>
              <w:t>【规章】《植物检疫条例实施细则（农业部分）》（农业部令第5号，1995年2月25日发布， 2007年11月8日农业部令第6号修订）</w:t>
            </w:r>
          </w:p>
          <w:p w14:paraId="3CA3884B">
            <w:pPr>
              <w:widowControl/>
              <w:spacing w:line="230" w:lineRule="exact"/>
              <w:jc w:val="left"/>
              <w:textAlignment w:val="center"/>
              <w:rPr>
                <w:rFonts w:hint="eastAsia" w:ascii="宋体" w:hAnsi="宋体" w:eastAsia="宋体" w:cs="宋体"/>
                <w:color w:val="000000"/>
                <w:kern w:val="0"/>
                <w:sz w:val="18"/>
                <w:szCs w:val="18"/>
                <w:lang w:eastAsia="zh-CN"/>
              </w:rPr>
            </w:pPr>
            <w:r>
              <w:rPr>
                <w:rFonts w:hint="eastAsia" w:ascii="宋体" w:hAnsi="宋体" w:cs="宋体"/>
                <w:color w:val="000000"/>
                <w:kern w:val="0"/>
                <w:sz w:val="18"/>
                <w:szCs w:val="18"/>
              </w:rPr>
              <w:t>第十八条 各级植物检疫机构对本辖区的原种场、良种场、苗圃以及其他繁育基地，按照国家和地方制定的《植物检疫操作规程》实施产地检疫。</w:t>
            </w:r>
          </w:p>
          <w:p w14:paraId="21569840">
            <w:pPr>
              <w:widowControl/>
              <w:spacing w:line="230" w:lineRule="exact"/>
              <w:jc w:val="left"/>
              <w:textAlignment w:val="center"/>
              <w:rPr>
                <w:rFonts w:hint="eastAsia" w:ascii="宋体" w:hAnsi="宋体" w:eastAsia="宋体" w:cs="宋体"/>
                <w:color w:val="000000"/>
                <w:spacing w:val="-6"/>
                <w:kern w:val="0"/>
                <w:sz w:val="18"/>
                <w:szCs w:val="18"/>
                <w:lang w:eastAsia="zh-CN"/>
              </w:rPr>
            </w:pPr>
            <w:r>
              <w:rPr>
                <w:rFonts w:hint="eastAsia" w:ascii="宋体" w:hAnsi="宋体" w:cs="宋体"/>
                <w:color w:val="000000"/>
                <w:spacing w:val="-6"/>
                <w:kern w:val="0"/>
                <w:sz w:val="18"/>
                <w:szCs w:val="18"/>
              </w:rPr>
              <w:t>【省政府规章】《辽宁省农业植物检疫实施办法》（辽宁省人民政府令第144号，2002年7月17日发布）</w:t>
            </w:r>
          </w:p>
          <w:p w14:paraId="376D8C3F">
            <w:pPr>
              <w:widowControl/>
              <w:spacing w:line="230" w:lineRule="exact"/>
              <w:jc w:val="left"/>
              <w:textAlignment w:val="center"/>
              <w:rPr>
                <w:rFonts w:ascii="宋体" w:hAnsi="宋体" w:cs="宋体"/>
                <w:color w:val="000000"/>
                <w:sz w:val="18"/>
                <w:szCs w:val="18"/>
              </w:rPr>
            </w:pPr>
            <w:r>
              <w:rPr>
                <w:rFonts w:hint="eastAsia" w:ascii="宋体" w:hAnsi="宋体" w:cs="宋体"/>
                <w:color w:val="000000"/>
                <w:kern w:val="0"/>
                <w:sz w:val="18"/>
                <w:szCs w:val="18"/>
              </w:rPr>
              <w:t>第</w:t>
            </w:r>
            <w:r>
              <w:rPr>
                <w:rFonts w:hint="eastAsia" w:ascii="宋体" w:hAnsi="宋体" w:cs="宋体"/>
                <w:color w:val="000000"/>
                <w:spacing w:val="-6"/>
                <w:kern w:val="0"/>
                <w:sz w:val="18"/>
                <w:szCs w:val="18"/>
              </w:rPr>
              <w:t>十条 植检机构对农作物种子、牧草种子、果树苗木和其他繁殖材料，应当按照国家和省农业植物检疫操作规程实施产地检疫。</w:t>
            </w:r>
          </w:p>
        </w:tc>
        <w:tc>
          <w:tcPr>
            <w:tcW w:w="927" w:type="dxa"/>
            <w:tcBorders>
              <w:top w:val="single" w:color="000000" w:sz="4" w:space="0"/>
              <w:left w:val="single" w:color="000000" w:sz="4" w:space="0"/>
              <w:bottom w:val="single" w:color="000000" w:sz="4" w:space="0"/>
              <w:right w:val="single" w:color="000000" w:sz="4" w:space="0"/>
            </w:tcBorders>
            <w:vAlign w:val="center"/>
          </w:tcPr>
          <w:p w14:paraId="02B2484F">
            <w:pPr>
              <w:widowControl/>
              <w:spacing w:line="240" w:lineRule="exact"/>
              <w:jc w:val="center"/>
              <w:textAlignment w:val="center"/>
              <w:rPr>
                <w:rFonts w:ascii="宋体" w:hAnsi="宋体" w:cs="宋体"/>
                <w:color w:val="000000"/>
                <w:kern w:val="0"/>
                <w:sz w:val="18"/>
                <w:szCs w:val="18"/>
              </w:rPr>
            </w:pPr>
            <w:r>
              <w:rPr>
                <w:rFonts w:hint="eastAsia" w:ascii="宋体" w:hAnsi="宋体" w:cs="宋体"/>
                <w:color w:val="000000"/>
                <w:kern w:val="0"/>
                <w:sz w:val="18"/>
                <w:szCs w:val="18"/>
              </w:rPr>
              <w:t>县农业</w:t>
            </w:r>
          </w:p>
          <w:p w14:paraId="5536F073">
            <w:pPr>
              <w:widowControl/>
              <w:spacing w:line="240" w:lineRule="exact"/>
              <w:jc w:val="center"/>
              <w:textAlignment w:val="center"/>
              <w:rPr>
                <w:rFonts w:ascii="宋体" w:hAnsi="宋体" w:cs="宋体"/>
                <w:color w:val="000000"/>
                <w:sz w:val="18"/>
                <w:szCs w:val="18"/>
              </w:rPr>
            </w:pPr>
            <w:r>
              <w:rPr>
                <w:rFonts w:hint="eastAsia" w:ascii="宋体" w:hAnsi="宋体" w:cs="宋体"/>
                <w:color w:val="000000"/>
                <w:kern w:val="0"/>
                <w:sz w:val="18"/>
                <w:szCs w:val="18"/>
              </w:rPr>
              <w:t>农村局</w:t>
            </w:r>
          </w:p>
        </w:tc>
        <w:tc>
          <w:tcPr>
            <w:tcW w:w="924" w:type="dxa"/>
            <w:tcBorders>
              <w:top w:val="single" w:color="000000" w:sz="4" w:space="0"/>
              <w:left w:val="single" w:color="000000" w:sz="4" w:space="0"/>
              <w:bottom w:val="single" w:color="000000" w:sz="4" w:space="0"/>
              <w:right w:val="single" w:color="000000" w:sz="4" w:space="0"/>
            </w:tcBorders>
            <w:vAlign w:val="center"/>
          </w:tcPr>
          <w:p w14:paraId="6311C30D">
            <w:pPr>
              <w:widowControl/>
              <w:spacing w:line="240" w:lineRule="exact"/>
              <w:jc w:val="center"/>
              <w:textAlignment w:val="center"/>
              <w:rPr>
                <w:rFonts w:ascii="宋体" w:hAnsi="宋体" w:cs="宋体"/>
                <w:color w:val="000000"/>
                <w:sz w:val="18"/>
                <w:szCs w:val="18"/>
              </w:rPr>
            </w:pPr>
            <w:r>
              <w:rPr>
                <w:rFonts w:hint="eastAsia" w:ascii="宋体" w:hAnsi="宋体" w:cs="宋体"/>
                <w:color w:val="000000"/>
                <w:kern w:val="0"/>
                <w:sz w:val="18"/>
                <w:szCs w:val="18"/>
              </w:rPr>
              <w:t>承接</w:t>
            </w:r>
          </w:p>
        </w:tc>
        <w:tc>
          <w:tcPr>
            <w:tcW w:w="1020" w:type="dxa"/>
            <w:tcBorders>
              <w:top w:val="single" w:color="000000" w:sz="4" w:space="0"/>
              <w:left w:val="single" w:color="000000" w:sz="4" w:space="0"/>
              <w:bottom w:val="single" w:color="000000" w:sz="4" w:space="0"/>
              <w:right w:val="single" w:color="000000" w:sz="4" w:space="0"/>
            </w:tcBorders>
            <w:vAlign w:val="center"/>
          </w:tcPr>
          <w:p w14:paraId="500E080E">
            <w:pPr>
              <w:widowControl/>
              <w:spacing w:line="240" w:lineRule="exact"/>
              <w:jc w:val="left"/>
              <w:textAlignment w:val="center"/>
              <w:rPr>
                <w:rFonts w:hint="eastAsia" w:ascii="宋体" w:hAnsi="宋体" w:eastAsia="宋体" w:cs="宋体"/>
                <w:color w:val="000000"/>
                <w:kern w:val="0"/>
                <w:sz w:val="18"/>
                <w:szCs w:val="18"/>
                <w:lang w:eastAsia="zh-CN"/>
              </w:rPr>
            </w:pPr>
            <w:r>
              <w:rPr>
                <w:rFonts w:hint="eastAsia" w:ascii="宋体" w:hAnsi="宋体" w:cs="宋体"/>
                <w:color w:val="000000"/>
                <w:kern w:val="0"/>
                <w:sz w:val="18"/>
                <w:szCs w:val="18"/>
              </w:rPr>
              <w:t>1.加强业务学习。</w:t>
            </w:r>
          </w:p>
          <w:p w14:paraId="14404AA7">
            <w:pPr>
              <w:widowControl/>
              <w:spacing w:line="240" w:lineRule="exact"/>
              <w:jc w:val="left"/>
              <w:textAlignment w:val="center"/>
              <w:rPr>
                <w:rFonts w:ascii="宋体" w:hAnsi="宋体" w:cs="宋体"/>
                <w:color w:val="000000"/>
                <w:sz w:val="18"/>
                <w:szCs w:val="18"/>
              </w:rPr>
            </w:pPr>
            <w:r>
              <w:rPr>
                <w:rFonts w:hint="eastAsia" w:ascii="宋体" w:hAnsi="宋体" w:cs="宋体"/>
                <w:color w:val="000000"/>
                <w:kern w:val="0"/>
                <w:sz w:val="18"/>
                <w:szCs w:val="18"/>
              </w:rPr>
              <w:t>2.建立随机抽查监管机制，对承接事项进行跟踪检查。</w:t>
            </w:r>
          </w:p>
        </w:tc>
        <w:tc>
          <w:tcPr>
            <w:tcW w:w="597" w:type="dxa"/>
            <w:gridSpan w:val="2"/>
            <w:tcBorders>
              <w:top w:val="single" w:color="000000" w:sz="4" w:space="0"/>
              <w:left w:val="single" w:color="000000" w:sz="4" w:space="0"/>
              <w:bottom w:val="single" w:color="000000" w:sz="4" w:space="0"/>
              <w:right w:val="single" w:color="000000" w:sz="4" w:space="0"/>
            </w:tcBorders>
            <w:vAlign w:val="center"/>
          </w:tcPr>
          <w:p w14:paraId="1D3A840C">
            <w:pPr>
              <w:spacing w:line="240" w:lineRule="exact"/>
              <w:jc w:val="left"/>
              <w:rPr>
                <w:rFonts w:ascii="宋体" w:hAnsi="宋体" w:cs="宋体"/>
                <w:color w:val="000000"/>
                <w:sz w:val="18"/>
                <w:szCs w:val="18"/>
              </w:rPr>
            </w:pPr>
          </w:p>
        </w:tc>
      </w:tr>
      <w:tr w14:paraId="5C81F98E">
        <w:tblPrEx>
          <w:tblCellMar>
            <w:top w:w="0" w:type="dxa"/>
            <w:left w:w="108" w:type="dxa"/>
            <w:bottom w:w="0" w:type="dxa"/>
            <w:right w:w="108" w:type="dxa"/>
          </w:tblCellMar>
        </w:tblPrEx>
        <w:trPr>
          <w:trHeight w:val="4400" w:hRule="atLeast"/>
          <w:jc w:val="center"/>
        </w:trPr>
        <w:tc>
          <w:tcPr>
            <w:tcW w:w="758" w:type="dxa"/>
            <w:tcBorders>
              <w:top w:val="single" w:color="000000" w:sz="4" w:space="0"/>
              <w:left w:val="single" w:color="000000" w:sz="4" w:space="0"/>
              <w:bottom w:val="single" w:color="000000" w:sz="4" w:space="0"/>
              <w:right w:val="single" w:color="000000" w:sz="4" w:space="0"/>
            </w:tcBorders>
            <w:vAlign w:val="center"/>
          </w:tcPr>
          <w:p w14:paraId="67C5DC00">
            <w:pPr>
              <w:widowControl/>
              <w:spacing w:line="240" w:lineRule="exact"/>
              <w:jc w:val="center"/>
              <w:textAlignment w:val="center"/>
              <w:rPr>
                <w:rFonts w:ascii="宋体" w:hAnsi="宋体" w:cs="宋体"/>
                <w:color w:val="000000"/>
                <w:sz w:val="18"/>
                <w:szCs w:val="18"/>
              </w:rPr>
            </w:pPr>
            <w:r>
              <w:rPr>
                <w:rFonts w:hint="eastAsia" w:ascii="宋体" w:hAnsi="宋体" w:cs="宋体"/>
                <w:color w:val="000000"/>
                <w:kern w:val="0"/>
                <w:sz w:val="18"/>
                <w:szCs w:val="18"/>
              </w:rPr>
              <w:t>18</w:t>
            </w:r>
          </w:p>
        </w:tc>
        <w:tc>
          <w:tcPr>
            <w:tcW w:w="1147" w:type="dxa"/>
            <w:tcBorders>
              <w:top w:val="single" w:color="000000" w:sz="4" w:space="0"/>
              <w:left w:val="single" w:color="000000" w:sz="4" w:space="0"/>
              <w:bottom w:val="single" w:color="000000" w:sz="4" w:space="0"/>
              <w:right w:val="single" w:color="000000" w:sz="4" w:space="0"/>
            </w:tcBorders>
            <w:vAlign w:val="center"/>
          </w:tcPr>
          <w:p w14:paraId="10E3B2BE">
            <w:pPr>
              <w:widowControl/>
              <w:spacing w:line="240" w:lineRule="exact"/>
              <w:jc w:val="left"/>
              <w:textAlignment w:val="center"/>
              <w:rPr>
                <w:rFonts w:ascii="宋体" w:hAnsi="宋体" w:cs="宋体"/>
                <w:color w:val="000000"/>
                <w:sz w:val="18"/>
                <w:szCs w:val="18"/>
              </w:rPr>
            </w:pPr>
            <w:r>
              <w:rPr>
                <w:rFonts w:hint="eastAsia" w:ascii="宋体" w:hAnsi="宋体" w:cs="宋体"/>
                <w:color w:val="000000"/>
                <w:kern w:val="0"/>
                <w:sz w:val="18"/>
                <w:szCs w:val="18"/>
              </w:rPr>
              <w:t>农机事故责任认定</w:t>
            </w:r>
          </w:p>
        </w:tc>
        <w:tc>
          <w:tcPr>
            <w:tcW w:w="998" w:type="dxa"/>
            <w:tcBorders>
              <w:top w:val="single" w:color="000000" w:sz="4" w:space="0"/>
              <w:left w:val="single" w:color="000000" w:sz="4" w:space="0"/>
              <w:bottom w:val="single" w:color="000000" w:sz="4" w:space="0"/>
              <w:right w:val="single" w:color="000000" w:sz="4" w:space="0"/>
            </w:tcBorders>
            <w:vAlign w:val="center"/>
          </w:tcPr>
          <w:p w14:paraId="3E52224E">
            <w:pPr>
              <w:spacing w:line="240" w:lineRule="exact"/>
              <w:jc w:val="left"/>
              <w:rPr>
                <w:rFonts w:ascii="宋体" w:hAnsi="宋体" w:cs="宋体"/>
                <w:color w:val="000000"/>
                <w:sz w:val="18"/>
                <w:szCs w:val="18"/>
              </w:rPr>
            </w:pPr>
          </w:p>
        </w:tc>
        <w:tc>
          <w:tcPr>
            <w:tcW w:w="966" w:type="dxa"/>
            <w:tcBorders>
              <w:top w:val="single" w:color="000000" w:sz="4" w:space="0"/>
              <w:left w:val="single" w:color="000000" w:sz="4" w:space="0"/>
              <w:bottom w:val="single" w:color="000000" w:sz="4" w:space="0"/>
              <w:right w:val="single" w:color="000000" w:sz="4" w:space="0"/>
            </w:tcBorders>
            <w:vAlign w:val="center"/>
          </w:tcPr>
          <w:p w14:paraId="26C0C79A">
            <w:pPr>
              <w:widowControl/>
              <w:spacing w:line="240" w:lineRule="exact"/>
              <w:jc w:val="center"/>
              <w:textAlignment w:val="center"/>
              <w:rPr>
                <w:rFonts w:ascii="宋体" w:hAnsi="宋体" w:cs="宋体"/>
                <w:color w:val="000000"/>
                <w:sz w:val="18"/>
                <w:szCs w:val="18"/>
              </w:rPr>
            </w:pPr>
            <w:r>
              <w:rPr>
                <w:rFonts w:hint="eastAsia" w:ascii="宋体" w:hAnsi="宋体" w:cs="宋体"/>
                <w:color w:val="000000"/>
                <w:kern w:val="0"/>
                <w:sz w:val="18"/>
                <w:szCs w:val="18"/>
              </w:rPr>
              <w:t>行政确认</w:t>
            </w:r>
          </w:p>
        </w:tc>
        <w:tc>
          <w:tcPr>
            <w:tcW w:w="2869" w:type="dxa"/>
            <w:tcBorders>
              <w:top w:val="single" w:color="000000" w:sz="4" w:space="0"/>
              <w:left w:val="single" w:color="000000" w:sz="4" w:space="0"/>
              <w:bottom w:val="single" w:color="000000" w:sz="4" w:space="0"/>
              <w:right w:val="single" w:color="000000" w:sz="4" w:space="0"/>
            </w:tcBorders>
            <w:vAlign w:val="center"/>
          </w:tcPr>
          <w:p w14:paraId="0D016CE8">
            <w:pPr>
              <w:widowControl/>
              <w:spacing w:line="230" w:lineRule="exact"/>
              <w:jc w:val="left"/>
              <w:textAlignment w:val="center"/>
              <w:rPr>
                <w:rFonts w:hint="eastAsia" w:ascii="宋体" w:hAnsi="宋体" w:eastAsia="宋体" w:cs="宋体"/>
                <w:color w:val="000000"/>
                <w:kern w:val="0"/>
                <w:sz w:val="18"/>
                <w:szCs w:val="18"/>
                <w:lang w:eastAsia="zh-CN"/>
              </w:rPr>
            </w:pPr>
            <w:r>
              <w:rPr>
                <w:rFonts w:hint="eastAsia" w:ascii="宋体" w:hAnsi="宋体" w:cs="宋体"/>
                <w:color w:val="000000"/>
                <w:kern w:val="0"/>
                <w:sz w:val="18"/>
                <w:szCs w:val="18"/>
              </w:rPr>
              <w:t>【行政法规】《生产安全事故报告和调查处理条例》（2007年4月9日国务院令第493号）</w:t>
            </w:r>
          </w:p>
          <w:p w14:paraId="72783CA8">
            <w:pPr>
              <w:widowControl/>
              <w:spacing w:line="230" w:lineRule="exact"/>
              <w:jc w:val="left"/>
              <w:textAlignment w:val="center"/>
              <w:rPr>
                <w:rFonts w:hint="eastAsia" w:ascii="宋体" w:hAnsi="宋体" w:eastAsia="宋体" w:cs="宋体"/>
                <w:color w:val="000000"/>
                <w:spacing w:val="-6"/>
                <w:kern w:val="0"/>
                <w:sz w:val="18"/>
                <w:szCs w:val="18"/>
                <w:lang w:eastAsia="zh-CN"/>
              </w:rPr>
            </w:pPr>
            <w:r>
              <w:rPr>
                <w:rFonts w:hint="eastAsia" w:ascii="宋体" w:hAnsi="宋体" w:cs="宋体"/>
                <w:color w:val="000000"/>
                <w:spacing w:val="-6"/>
                <w:kern w:val="0"/>
                <w:sz w:val="18"/>
                <w:szCs w:val="18"/>
              </w:rPr>
              <w:t>第十九条重大事故、较大事故、一般事故分别由事故发生地省级人民政府、设区的市级人民政府、县级人民政府负责调查。省级人民政府、设区的市级人民政府、县级人民政府可以直接组织事故调查组进行调查，也可以授权或者委托有关部门组织事故调查组进行调查。</w:t>
            </w:r>
          </w:p>
          <w:p w14:paraId="600A5828">
            <w:pPr>
              <w:widowControl/>
              <w:spacing w:line="230" w:lineRule="exact"/>
              <w:jc w:val="left"/>
              <w:textAlignment w:val="center"/>
              <w:rPr>
                <w:rFonts w:hint="eastAsia" w:ascii="宋体" w:hAnsi="宋体" w:eastAsia="宋体" w:cs="宋体"/>
                <w:color w:val="000000"/>
                <w:spacing w:val="-6"/>
                <w:kern w:val="0"/>
                <w:sz w:val="18"/>
                <w:szCs w:val="18"/>
                <w:lang w:eastAsia="zh-CN"/>
              </w:rPr>
            </w:pPr>
            <w:r>
              <w:rPr>
                <w:rFonts w:hint="eastAsia" w:ascii="宋体" w:hAnsi="宋体" w:cs="宋体"/>
                <w:color w:val="000000"/>
                <w:spacing w:val="-6"/>
                <w:kern w:val="0"/>
                <w:sz w:val="18"/>
                <w:szCs w:val="18"/>
              </w:rPr>
              <w:t>【行政法规】《农业机械安全监督管理条例》（2009年9月17日国务院563号令，2016年2月6日予以修改）第二十五条县级以上地方人民政府农业机械化主管部门负责农业机械事故责任的认定和调解处理。</w:t>
            </w:r>
          </w:p>
          <w:p w14:paraId="40643210">
            <w:pPr>
              <w:widowControl/>
              <w:spacing w:line="230" w:lineRule="exact"/>
              <w:jc w:val="left"/>
              <w:textAlignment w:val="center"/>
              <w:rPr>
                <w:rFonts w:hint="eastAsia" w:ascii="宋体" w:hAnsi="宋体" w:eastAsia="宋体" w:cs="宋体"/>
                <w:color w:val="000000"/>
                <w:kern w:val="0"/>
                <w:sz w:val="18"/>
                <w:szCs w:val="18"/>
                <w:lang w:eastAsia="zh-CN"/>
              </w:rPr>
            </w:pPr>
            <w:r>
              <w:rPr>
                <w:rFonts w:hint="eastAsia" w:ascii="宋体" w:hAnsi="宋体" w:cs="宋体"/>
                <w:color w:val="000000"/>
                <w:kern w:val="0"/>
                <w:sz w:val="18"/>
                <w:szCs w:val="18"/>
              </w:rPr>
              <w:t>【规章】《农业机械事故处理办法》（农业部令2011年第2号）</w:t>
            </w:r>
          </w:p>
          <w:p w14:paraId="32D3479B">
            <w:pPr>
              <w:widowControl/>
              <w:spacing w:line="230" w:lineRule="exact"/>
              <w:jc w:val="left"/>
              <w:textAlignment w:val="center"/>
              <w:rPr>
                <w:rFonts w:ascii="宋体" w:hAnsi="宋体" w:cs="宋体"/>
                <w:color w:val="000000"/>
                <w:sz w:val="18"/>
                <w:szCs w:val="18"/>
              </w:rPr>
            </w:pPr>
            <w:r>
              <w:rPr>
                <w:rFonts w:hint="eastAsia" w:ascii="宋体" w:hAnsi="宋体" w:cs="宋体"/>
                <w:color w:val="000000"/>
                <w:kern w:val="0"/>
                <w:sz w:val="18"/>
                <w:szCs w:val="18"/>
              </w:rPr>
              <w:t>第三条县级以上地方人民政府农业机械化主管部门负责农业机械事故责任的认定和调解处理。县级以上地方人民政府农业机械化主管部门所属的农业机械安全监督管理机构（以下简称农机安全监理机构）承担本辖区农机事故处理的具体工作。</w:t>
            </w:r>
          </w:p>
        </w:tc>
        <w:tc>
          <w:tcPr>
            <w:tcW w:w="927" w:type="dxa"/>
            <w:tcBorders>
              <w:top w:val="single" w:color="000000" w:sz="4" w:space="0"/>
              <w:left w:val="single" w:color="000000" w:sz="4" w:space="0"/>
              <w:bottom w:val="single" w:color="000000" w:sz="4" w:space="0"/>
              <w:right w:val="single" w:color="000000" w:sz="4" w:space="0"/>
            </w:tcBorders>
            <w:vAlign w:val="center"/>
          </w:tcPr>
          <w:p w14:paraId="450BD932">
            <w:pPr>
              <w:widowControl/>
              <w:spacing w:line="240" w:lineRule="exact"/>
              <w:jc w:val="center"/>
              <w:textAlignment w:val="center"/>
              <w:rPr>
                <w:rFonts w:ascii="宋体" w:hAnsi="宋体" w:cs="宋体"/>
                <w:color w:val="000000"/>
                <w:kern w:val="0"/>
                <w:sz w:val="18"/>
                <w:szCs w:val="18"/>
              </w:rPr>
            </w:pPr>
            <w:r>
              <w:rPr>
                <w:rFonts w:hint="eastAsia" w:ascii="宋体" w:hAnsi="宋体" w:cs="宋体"/>
                <w:color w:val="000000"/>
                <w:kern w:val="0"/>
                <w:sz w:val="18"/>
                <w:szCs w:val="18"/>
              </w:rPr>
              <w:t>县农业</w:t>
            </w:r>
          </w:p>
          <w:p w14:paraId="3321618A">
            <w:pPr>
              <w:widowControl/>
              <w:spacing w:line="240" w:lineRule="exact"/>
              <w:jc w:val="center"/>
              <w:textAlignment w:val="center"/>
              <w:rPr>
                <w:rFonts w:ascii="宋体" w:hAnsi="宋体" w:cs="宋体"/>
                <w:color w:val="000000"/>
                <w:sz w:val="18"/>
                <w:szCs w:val="18"/>
              </w:rPr>
            </w:pPr>
            <w:r>
              <w:rPr>
                <w:rFonts w:hint="eastAsia" w:ascii="宋体" w:hAnsi="宋体" w:cs="宋体"/>
                <w:color w:val="000000"/>
                <w:kern w:val="0"/>
                <w:sz w:val="18"/>
                <w:szCs w:val="18"/>
              </w:rPr>
              <w:t>农村局</w:t>
            </w:r>
          </w:p>
        </w:tc>
        <w:tc>
          <w:tcPr>
            <w:tcW w:w="924" w:type="dxa"/>
            <w:tcBorders>
              <w:top w:val="single" w:color="000000" w:sz="4" w:space="0"/>
              <w:left w:val="single" w:color="000000" w:sz="4" w:space="0"/>
              <w:bottom w:val="single" w:color="000000" w:sz="4" w:space="0"/>
              <w:right w:val="single" w:color="000000" w:sz="4" w:space="0"/>
            </w:tcBorders>
            <w:vAlign w:val="center"/>
          </w:tcPr>
          <w:p w14:paraId="56CA8AB0">
            <w:pPr>
              <w:widowControl/>
              <w:spacing w:line="240" w:lineRule="exact"/>
              <w:jc w:val="center"/>
              <w:textAlignment w:val="center"/>
              <w:rPr>
                <w:rFonts w:ascii="宋体" w:hAnsi="宋体" w:cs="宋体"/>
                <w:color w:val="000000"/>
                <w:sz w:val="18"/>
                <w:szCs w:val="18"/>
              </w:rPr>
            </w:pPr>
            <w:r>
              <w:rPr>
                <w:rFonts w:hint="eastAsia" w:ascii="宋体" w:hAnsi="宋体" w:cs="宋体"/>
                <w:color w:val="000000"/>
                <w:kern w:val="0"/>
                <w:sz w:val="18"/>
                <w:szCs w:val="18"/>
              </w:rPr>
              <w:t>承接</w:t>
            </w:r>
          </w:p>
        </w:tc>
        <w:tc>
          <w:tcPr>
            <w:tcW w:w="1020" w:type="dxa"/>
            <w:tcBorders>
              <w:top w:val="single" w:color="000000" w:sz="4" w:space="0"/>
              <w:left w:val="single" w:color="000000" w:sz="4" w:space="0"/>
              <w:bottom w:val="single" w:color="000000" w:sz="4" w:space="0"/>
              <w:right w:val="single" w:color="000000" w:sz="4" w:space="0"/>
            </w:tcBorders>
            <w:vAlign w:val="center"/>
          </w:tcPr>
          <w:p w14:paraId="63ED7943">
            <w:pPr>
              <w:widowControl/>
              <w:spacing w:line="240" w:lineRule="exact"/>
              <w:jc w:val="left"/>
              <w:textAlignment w:val="center"/>
              <w:rPr>
                <w:rFonts w:hint="eastAsia" w:ascii="宋体" w:hAnsi="宋体" w:eastAsia="宋体" w:cs="宋体"/>
                <w:color w:val="000000"/>
                <w:kern w:val="0"/>
                <w:sz w:val="18"/>
                <w:szCs w:val="18"/>
                <w:lang w:eastAsia="zh-CN"/>
              </w:rPr>
            </w:pPr>
            <w:r>
              <w:rPr>
                <w:rFonts w:hint="eastAsia" w:ascii="宋体" w:hAnsi="宋体" w:cs="宋体"/>
                <w:color w:val="000000"/>
                <w:kern w:val="0"/>
                <w:sz w:val="18"/>
                <w:szCs w:val="18"/>
              </w:rPr>
              <w:t>1.加强业务学习。</w:t>
            </w:r>
          </w:p>
          <w:p w14:paraId="731AA5AB">
            <w:pPr>
              <w:widowControl/>
              <w:spacing w:line="240" w:lineRule="exact"/>
              <w:jc w:val="left"/>
              <w:textAlignment w:val="center"/>
              <w:rPr>
                <w:rFonts w:ascii="宋体" w:hAnsi="宋体" w:cs="宋体"/>
                <w:color w:val="000000"/>
                <w:sz w:val="18"/>
                <w:szCs w:val="18"/>
              </w:rPr>
            </w:pPr>
            <w:r>
              <w:rPr>
                <w:rFonts w:hint="eastAsia" w:ascii="宋体" w:hAnsi="宋体" w:cs="宋体"/>
                <w:color w:val="000000"/>
                <w:kern w:val="0"/>
                <w:sz w:val="18"/>
                <w:szCs w:val="18"/>
              </w:rPr>
              <w:t>2.建立随机抽查监管机制，对承接事项进行跟踪检查。</w:t>
            </w:r>
          </w:p>
        </w:tc>
        <w:tc>
          <w:tcPr>
            <w:tcW w:w="597" w:type="dxa"/>
            <w:gridSpan w:val="2"/>
            <w:tcBorders>
              <w:top w:val="single" w:color="000000" w:sz="4" w:space="0"/>
              <w:left w:val="single" w:color="000000" w:sz="4" w:space="0"/>
              <w:bottom w:val="single" w:color="000000" w:sz="4" w:space="0"/>
              <w:right w:val="single" w:color="000000" w:sz="4" w:space="0"/>
            </w:tcBorders>
            <w:vAlign w:val="center"/>
          </w:tcPr>
          <w:p w14:paraId="6F684DD8">
            <w:pPr>
              <w:spacing w:line="240" w:lineRule="exact"/>
              <w:jc w:val="left"/>
              <w:rPr>
                <w:rFonts w:ascii="宋体" w:hAnsi="宋体" w:cs="宋体"/>
                <w:color w:val="000000"/>
                <w:sz w:val="18"/>
                <w:szCs w:val="18"/>
              </w:rPr>
            </w:pPr>
          </w:p>
        </w:tc>
      </w:tr>
      <w:tr w14:paraId="7A396379">
        <w:tblPrEx>
          <w:tblCellMar>
            <w:top w:w="0" w:type="dxa"/>
            <w:left w:w="108" w:type="dxa"/>
            <w:bottom w:w="0" w:type="dxa"/>
            <w:right w:w="108" w:type="dxa"/>
          </w:tblCellMar>
        </w:tblPrEx>
        <w:trPr>
          <w:trHeight w:val="1955" w:hRule="atLeast"/>
          <w:jc w:val="center"/>
        </w:trPr>
        <w:tc>
          <w:tcPr>
            <w:tcW w:w="758" w:type="dxa"/>
            <w:tcBorders>
              <w:top w:val="single" w:color="000000" w:sz="4" w:space="0"/>
              <w:left w:val="single" w:color="000000" w:sz="4" w:space="0"/>
              <w:bottom w:val="single" w:color="000000" w:sz="4" w:space="0"/>
              <w:right w:val="single" w:color="000000" w:sz="4" w:space="0"/>
            </w:tcBorders>
            <w:vAlign w:val="center"/>
          </w:tcPr>
          <w:p w14:paraId="28BC75E8">
            <w:pPr>
              <w:widowControl/>
              <w:spacing w:line="240" w:lineRule="exact"/>
              <w:jc w:val="center"/>
              <w:textAlignment w:val="center"/>
              <w:rPr>
                <w:rFonts w:ascii="宋体" w:hAnsi="宋体" w:cs="宋体"/>
                <w:color w:val="000000"/>
                <w:sz w:val="18"/>
                <w:szCs w:val="18"/>
              </w:rPr>
            </w:pPr>
            <w:r>
              <w:rPr>
                <w:rFonts w:hint="eastAsia" w:ascii="宋体" w:hAnsi="宋体" w:cs="宋体"/>
                <w:color w:val="000000"/>
                <w:kern w:val="0"/>
                <w:sz w:val="18"/>
                <w:szCs w:val="18"/>
              </w:rPr>
              <w:t>19</w:t>
            </w:r>
          </w:p>
        </w:tc>
        <w:tc>
          <w:tcPr>
            <w:tcW w:w="1147" w:type="dxa"/>
            <w:tcBorders>
              <w:top w:val="single" w:color="000000" w:sz="4" w:space="0"/>
              <w:left w:val="single" w:color="000000" w:sz="4" w:space="0"/>
              <w:bottom w:val="single" w:color="000000" w:sz="4" w:space="0"/>
              <w:right w:val="single" w:color="000000" w:sz="4" w:space="0"/>
            </w:tcBorders>
            <w:vAlign w:val="center"/>
          </w:tcPr>
          <w:p w14:paraId="497271B2">
            <w:pPr>
              <w:widowControl/>
              <w:spacing w:line="240" w:lineRule="exact"/>
              <w:jc w:val="left"/>
              <w:textAlignment w:val="center"/>
              <w:rPr>
                <w:rFonts w:ascii="宋体" w:hAnsi="宋体" w:cs="宋体"/>
                <w:color w:val="000000"/>
                <w:sz w:val="18"/>
                <w:szCs w:val="18"/>
              </w:rPr>
            </w:pPr>
            <w:r>
              <w:rPr>
                <w:rFonts w:hint="eastAsia" w:ascii="宋体" w:hAnsi="宋体" w:cs="宋体"/>
                <w:color w:val="000000"/>
                <w:kern w:val="0"/>
                <w:sz w:val="18"/>
                <w:szCs w:val="18"/>
              </w:rPr>
              <w:t>禁限用农业投入品目录的确认与公布</w:t>
            </w:r>
          </w:p>
        </w:tc>
        <w:tc>
          <w:tcPr>
            <w:tcW w:w="998" w:type="dxa"/>
            <w:tcBorders>
              <w:top w:val="single" w:color="000000" w:sz="4" w:space="0"/>
              <w:left w:val="single" w:color="000000" w:sz="4" w:space="0"/>
              <w:bottom w:val="single" w:color="000000" w:sz="4" w:space="0"/>
              <w:right w:val="single" w:color="000000" w:sz="4" w:space="0"/>
            </w:tcBorders>
            <w:vAlign w:val="center"/>
          </w:tcPr>
          <w:p w14:paraId="743DBD41">
            <w:pPr>
              <w:spacing w:line="240" w:lineRule="exact"/>
              <w:jc w:val="left"/>
              <w:rPr>
                <w:rFonts w:ascii="宋体" w:hAnsi="宋体" w:cs="宋体"/>
                <w:color w:val="000000"/>
                <w:sz w:val="18"/>
                <w:szCs w:val="18"/>
              </w:rPr>
            </w:pPr>
          </w:p>
        </w:tc>
        <w:tc>
          <w:tcPr>
            <w:tcW w:w="966" w:type="dxa"/>
            <w:tcBorders>
              <w:top w:val="single" w:color="000000" w:sz="4" w:space="0"/>
              <w:left w:val="single" w:color="000000" w:sz="4" w:space="0"/>
              <w:bottom w:val="single" w:color="000000" w:sz="4" w:space="0"/>
              <w:right w:val="single" w:color="000000" w:sz="4" w:space="0"/>
            </w:tcBorders>
            <w:vAlign w:val="center"/>
          </w:tcPr>
          <w:p w14:paraId="76C6FC4E">
            <w:pPr>
              <w:widowControl/>
              <w:spacing w:line="240" w:lineRule="exact"/>
              <w:jc w:val="center"/>
              <w:textAlignment w:val="center"/>
              <w:rPr>
                <w:rFonts w:ascii="宋体" w:hAnsi="宋体" w:cs="宋体"/>
                <w:color w:val="000000"/>
                <w:sz w:val="18"/>
                <w:szCs w:val="18"/>
              </w:rPr>
            </w:pPr>
            <w:r>
              <w:rPr>
                <w:rFonts w:hint="eastAsia" w:ascii="宋体" w:hAnsi="宋体" w:cs="宋体"/>
                <w:color w:val="000000"/>
                <w:kern w:val="0"/>
                <w:sz w:val="18"/>
                <w:szCs w:val="18"/>
              </w:rPr>
              <w:t>其他行政权力</w:t>
            </w:r>
          </w:p>
        </w:tc>
        <w:tc>
          <w:tcPr>
            <w:tcW w:w="2869" w:type="dxa"/>
            <w:tcBorders>
              <w:top w:val="single" w:color="000000" w:sz="4" w:space="0"/>
              <w:left w:val="single" w:color="000000" w:sz="4" w:space="0"/>
              <w:bottom w:val="single" w:color="000000" w:sz="4" w:space="0"/>
              <w:right w:val="single" w:color="000000" w:sz="4" w:space="0"/>
            </w:tcBorders>
            <w:vAlign w:val="center"/>
          </w:tcPr>
          <w:p w14:paraId="0D03BA60">
            <w:pPr>
              <w:widowControl/>
              <w:spacing w:line="240" w:lineRule="exact"/>
              <w:jc w:val="left"/>
              <w:textAlignment w:val="center"/>
              <w:rPr>
                <w:rFonts w:ascii="宋体" w:hAnsi="宋体" w:cs="宋体"/>
                <w:color w:val="000000"/>
                <w:sz w:val="18"/>
                <w:szCs w:val="18"/>
              </w:rPr>
            </w:pPr>
            <w:r>
              <w:rPr>
                <w:rFonts w:hint="eastAsia" w:ascii="宋体" w:hAnsi="宋体" w:cs="宋体"/>
                <w:color w:val="000000"/>
                <w:spacing w:val="-6"/>
                <w:kern w:val="0"/>
                <w:sz w:val="18"/>
                <w:szCs w:val="18"/>
              </w:rPr>
              <w:t>【地方性法规】《辽宁省农产品质量安全条例》（辽宁省人民代表大会常务委员会公告第68号，2017年6月1日起实施） 第十五条 农业行政主管部门应当定期公布国家禁止和限制使用的农业投入品目录等相关信息。 市、县农业行政主管部门根据农产品生产和产地环境状况，提出本行政区域禁止和限制使用的农业投入品目录，报本级人民政府批准后公布。</w:t>
            </w:r>
          </w:p>
        </w:tc>
        <w:tc>
          <w:tcPr>
            <w:tcW w:w="927" w:type="dxa"/>
            <w:tcBorders>
              <w:top w:val="single" w:color="000000" w:sz="4" w:space="0"/>
              <w:left w:val="single" w:color="000000" w:sz="4" w:space="0"/>
              <w:bottom w:val="single" w:color="000000" w:sz="4" w:space="0"/>
              <w:right w:val="single" w:color="000000" w:sz="4" w:space="0"/>
            </w:tcBorders>
            <w:vAlign w:val="center"/>
          </w:tcPr>
          <w:p w14:paraId="160B7AC7">
            <w:pPr>
              <w:widowControl/>
              <w:spacing w:line="240" w:lineRule="exact"/>
              <w:jc w:val="center"/>
              <w:textAlignment w:val="center"/>
              <w:rPr>
                <w:rFonts w:ascii="宋体" w:hAnsi="宋体" w:cs="宋体"/>
                <w:color w:val="000000"/>
                <w:kern w:val="0"/>
                <w:sz w:val="18"/>
                <w:szCs w:val="18"/>
              </w:rPr>
            </w:pPr>
            <w:r>
              <w:rPr>
                <w:rFonts w:hint="eastAsia" w:ascii="宋体" w:hAnsi="宋体" w:cs="宋体"/>
                <w:color w:val="000000"/>
                <w:kern w:val="0"/>
                <w:sz w:val="18"/>
                <w:szCs w:val="18"/>
              </w:rPr>
              <w:t>县农业</w:t>
            </w:r>
          </w:p>
          <w:p w14:paraId="39594E0C">
            <w:pPr>
              <w:widowControl/>
              <w:spacing w:line="240" w:lineRule="exact"/>
              <w:jc w:val="center"/>
              <w:textAlignment w:val="center"/>
              <w:rPr>
                <w:rFonts w:ascii="宋体" w:hAnsi="宋体" w:cs="宋体"/>
                <w:color w:val="000000"/>
                <w:sz w:val="18"/>
                <w:szCs w:val="18"/>
              </w:rPr>
            </w:pPr>
            <w:r>
              <w:rPr>
                <w:rFonts w:hint="eastAsia" w:ascii="宋体" w:hAnsi="宋体" w:cs="宋体"/>
                <w:color w:val="000000"/>
                <w:kern w:val="0"/>
                <w:sz w:val="18"/>
                <w:szCs w:val="18"/>
              </w:rPr>
              <w:t>农村局</w:t>
            </w:r>
          </w:p>
        </w:tc>
        <w:tc>
          <w:tcPr>
            <w:tcW w:w="924" w:type="dxa"/>
            <w:tcBorders>
              <w:top w:val="single" w:color="000000" w:sz="4" w:space="0"/>
              <w:left w:val="single" w:color="000000" w:sz="4" w:space="0"/>
              <w:bottom w:val="single" w:color="000000" w:sz="4" w:space="0"/>
              <w:right w:val="single" w:color="000000" w:sz="4" w:space="0"/>
            </w:tcBorders>
            <w:vAlign w:val="center"/>
          </w:tcPr>
          <w:p w14:paraId="6AE3A819">
            <w:pPr>
              <w:widowControl/>
              <w:spacing w:line="240" w:lineRule="exact"/>
              <w:jc w:val="center"/>
              <w:textAlignment w:val="center"/>
              <w:rPr>
                <w:rFonts w:ascii="宋体" w:hAnsi="宋体" w:cs="宋体"/>
                <w:color w:val="000000"/>
                <w:sz w:val="18"/>
                <w:szCs w:val="18"/>
              </w:rPr>
            </w:pPr>
            <w:r>
              <w:rPr>
                <w:rFonts w:hint="eastAsia" w:ascii="宋体" w:hAnsi="宋体" w:cs="宋体"/>
                <w:color w:val="000000"/>
                <w:kern w:val="0"/>
                <w:sz w:val="18"/>
                <w:szCs w:val="18"/>
              </w:rPr>
              <w:t>承接</w:t>
            </w:r>
          </w:p>
        </w:tc>
        <w:tc>
          <w:tcPr>
            <w:tcW w:w="1020" w:type="dxa"/>
            <w:tcBorders>
              <w:top w:val="single" w:color="000000" w:sz="4" w:space="0"/>
              <w:left w:val="single" w:color="000000" w:sz="4" w:space="0"/>
              <w:bottom w:val="single" w:color="000000" w:sz="4" w:space="0"/>
              <w:right w:val="single" w:color="000000" w:sz="4" w:space="0"/>
            </w:tcBorders>
            <w:vAlign w:val="center"/>
          </w:tcPr>
          <w:p w14:paraId="78BA1C2D">
            <w:pPr>
              <w:widowControl/>
              <w:spacing w:line="240" w:lineRule="exact"/>
              <w:jc w:val="left"/>
              <w:textAlignment w:val="center"/>
              <w:rPr>
                <w:rFonts w:hint="eastAsia" w:ascii="宋体" w:hAnsi="宋体" w:eastAsia="宋体" w:cs="宋体"/>
                <w:color w:val="000000"/>
                <w:kern w:val="0"/>
                <w:sz w:val="18"/>
                <w:szCs w:val="18"/>
                <w:lang w:eastAsia="zh-CN"/>
              </w:rPr>
            </w:pPr>
            <w:r>
              <w:rPr>
                <w:rFonts w:hint="eastAsia" w:ascii="宋体" w:hAnsi="宋体" w:cs="宋体"/>
                <w:color w:val="000000"/>
                <w:kern w:val="0"/>
                <w:sz w:val="18"/>
                <w:szCs w:val="18"/>
              </w:rPr>
              <w:t>1.加强业务学习。</w:t>
            </w:r>
          </w:p>
          <w:p w14:paraId="0957DF87">
            <w:pPr>
              <w:widowControl/>
              <w:spacing w:line="240" w:lineRule="exact"/>
              <w:jc w:val="left"/>
              <w:textAlignment w:val="center"/>
              <w:rPr>
                <w:rFonts w:ascii="宋体" w:hAnsi="宋体" w:cs="宋体"/>
                <w:color w:val="000000"/>
                <w:sz w:val="18"/>
                <w:szCs w:val="18"/>
              </w:rPr>
            </w:pPr>
            <w:r>
              <w:rPr>
                <w:rFonts w:hint="eastAsia" w:ascii="宋体" w:hAnsi="宋体" w:cs="宋体"/>
                <w:color w:val="000000"/>
                <w:kern w:val="0"/>
                <w:sz w:val="18"/>
                <w:szCs w:val="18"/>
              </w:rPr>
              <w:t>2.建立随机抽查监管机制，对承接事项进行跟踪检查。</w:t>
            </w:r>
          </w:p>
        </w:tc>
        <w:tc>
          <w:tcPr>
            <w:tcW w:w="597" w:type="dxa"/>
            <w:gridSpan w:val="2"/>
            <w:tcBorders>
              <w:top w:val="single" w:color="000000" w:sz="4" w:space="0"/>
              <w:left w:val="single" w:color="000000" w:sz="4" w:space="0"/>
              <w:bottom w:val="single" w:color="000000" w:sz="4" w:space="0"/>
              <w:right w:val="single" w:color="000000" w:sz="4" w:space="0"/>
            </w:tcBorders>
            <w:vAlign w:val="center"/>
          </w:tcPr>
          <w:p w14:paraId="6880D726">
            <w:pPr>
              <w:spacing w:line="240" w:lineRule="exact"/>
              <w:jc w:val="left"/>
              <w:rPr>
                <w:rFonts w:ascii="宋体" w:hAnsi="宋体" w:cs="宋体"/>
                <w:color w:val="000000"/>
                <w:sz w:val="18"/>
                <w:szCs w:val="18"/>
              </w:rPr>
            </w:pPr>
          </w:p>
        </w:tc>
      </w:tr>
      <w:tr w14:paraId="5B75C4AD">
        <w:tblPrEx>
          <w:tblCellMar>
            <w:top w:w="0" w:type="dxa"/>
            <w:left w:w="108" w:type="dxa"/>
            <w:bottom w:w="0" w:type="dxa"/>
            <w:right w:w="108" w:type="dxa"/>
          </w:tblCellMar>
        </w:tblPrEx>
        <w:trPr>
          <w:trHeight w:val="2110" w:hRule="atLeast"/>
          <w:jc w:val="center"/>
        </w:trPr>
        <w:tc>
          <w:tcPr>
            <w:tcW w:w="758" w:type="dxa"/>
            <w:tcBorders>
              <w:top w:val="single" w:color="000000" w:sz="4" w:space="0"/>
              <w:left w:val="single" w:color="000000" w:sz="4" w:space="0"/>
              <w:bottom w:val="single" w:color="000000" w:sz="4" w:space="0"/>
              <w:right w:val="single" w:color="000000" w:sz="4" w:space="0"/>
            </w:tcBorders>
            <w:vAlign w:val="center"/>
          </w:tcPr>
          <w:p w14:paraId="3EFC9E69">
            <w:pPr>
              <w:widowControl/>
              <w:spacing w:line="240" w:lineRule="exact"/>
              <w:jc w:val="center"/>
              <w:textAlignment w:val="center"/>
              <w:rPr>
                <w:rFonts w:ascii="宋体" w:hAnsi="宋体" w:cs="宋体"/>
                <w:color w:val="000000"/>
                <w:sz w:val="18"/>
                <w:szCs w:val="18"/>
              </w:rPr>
            </w:pPr>
            <w:r>
              <w:rPr>
                <w:rFonts w:hint="eastAsia" w:ascii="宋体" w:hAnsi="宋体" w:cs="宋体"/>
                <w:color w:val="000000"/>
                <w:kern w:val="0"/>
                <w:sz w:val="18"/>
                <w:szCs w:val="18"/>
              </w:rPr>
              <w:t>20</w:t>
            </w:r>
          </w:p>
        </w:tc>
        <w:tc>
          <w:tcPr>
            <w:tcW w:w="1147" w:type="dxa"/>
            <w:tcBorders>
              <w:top w:val="single" w:color="000000" w:sz="4" w:space="0"/>
              <w:left w:val="single" w:color="000000" w:sz="4" w:space="0"/>
              <w:bottom w:val="single" w:color="000000" w:sz="4" w:space="0"/>
              <w:right w:val="single" w:color="000000" w:sz="4" w:space="0"/>
            </w:tcBorders>
            <w:vAlign w:val="center"/>
          </w:tcPr>
          <w:p w14:paraId="7B36806E">
            <w:pPr>
              <w:widowControl/>
              <w:spacing w:line="240" w:lineRule="exact"/>
              <w:jc w:val="left"/>
              <w:textAlignment w:val="center"/>
              <w:rPr>
                <w:rFonts w:ascii="宋体" w:hAnsi="宋体" w:cs="宋体"/>
                <w:color w:val="000000"/>
                <w:sz w:val="18"/>
                <w:szCs w:val="18"/>
              </w:rPr>
            </w:pPr>
            <w:r>
              <w:rPr>
                <w:rFonts w:hint="eastAsia" w:ascii="宋体" w:hAnsi="宋体" w:cs="宋体"/>
                <w:color w:val="000000"/>
                <w:kern w:val="0"/>
                <w:sz w:val="18"/>
                <w:szCs w:val="18"/>
              </w:rPr>
              <w:t>农村土地承包经营纠纷仲裁</w:t>
            </w:r>
          </w:p>
        </w:tc>
        <w:tc>
          <w:tcPr>
            <w:tcW w:w="998" w:type="dxa"/>
            <w:tcBorders>
              <w:top w:val="single" w:color="000000" w:sz="4" w:space="0"/>
              <w:left w:val="single" w:color="000000" w:sz="4" w:space="0"/>
              <w:bottom w:val="single" w:color="000000" w:sz="4" w:space="0"/>
              <w:right w:val="single" w:color="000000" w:sz="4" w:space="0"/>
            </w:tcBorders>
            <w:vAlign w:val="center"/>
          </w:tcPr>
          <w:p w14:paraId="2903E6B3">
            <w:pPr>
              <w:spacing w:line="240" w:lineRule="exact"/>
              <w:jc w:val="left"/>
              <w:rPr>
                <w:rFonts w:ascii="宋体" w:hAnsi="宋体" w:cs="宋体"/>
                <w:color w:val="000000"/>
                <w:sz w:val="18"/>
                <w:szCs w:val="18"/>
              </w:rPr>
            </w:pPr>
          </w:p>
        </w:tc>
        <w:tc>
          <w:tcPr>
            <w:tcW w:w="966" w:type="dxa"/>
            <w:tcBorders>
              <w:top w:val="single" w:color="000000" w:sz="4" w:space="0"/>
              <w:left w:val="single" w:color="000000" w:sz="4" w:space="0"/>
              <w:bottom w:val="single" w:color="000000" w:sz="4" w:space="0"/>
              <w:right w:val="single" w:color="000000" w:sz="4" w:space="0"/>
            </w:tcBorders>
            <w:vAlign w:val="center"/>
          </w:tcPr>
          <w:p w14:paraId="3F9A75A5">
            <w:pPr>
              <w:widowControl/>
              <w:spacing w:line="240" w:lineRule="exact"/>
              <w:jc w:val="center"/>
              <w:textAlignment w:val="center"/>
              <w:rPr>
                <w:rFonts w:ascii="宋体" w:hAnsi="宋体" w:cs="宋体"/>
                <w:color w:val="000000"/>
                <w:sz w:val="18"/>
                <w:szCs w:val="18"/>
              </w:rPr>
            </w:pPr>
            <w:r>
              <w:rPr>
                <w:rFonts w:hint="eastAsia" w:ascii="宋体" w:hAnsi="宋体" w:cs="宋体"/>
                <w:color w:val="000000"/>
                <w:kern w:val="0"/>
                <w:sz w:val="18"/>
                <w:szCs w:val="18"/>
              </w:rPr>
              <w:t>其他行政权力</w:t>
            </w:r>
          </w:p>
        </w:tc>
        <w:tc>
          <w:tcPr>
            <w:tcW w:w="2869" w:type="dxa"/>
            <w:tcBorders>
              <w:top w:val="single" w:color="000000" w:sz="4" w:space="0"/>
              <w:left w:val="single" w:color="000000" w:sz="4" w:space="0"/>
              <w:bottom w:val="single" w:color="000000" w:sz="4" w:space="0"/>
              <w:right w:val="single" w:color="000000" w:sz="4" w:space="0"/>
            </w:tcBorders>
            <w:vAlign w:val="center"/>
          </w:tcPr>
          <w:p w14:paraId="4B42460D">
            <w:pPr>
              <w:widowControl/>
              <w:spacing w:line="240" w:lineRule="exact"/>
              <w:jc w:val="left"/>
              <w:textAlignment w:val="center"/>
              <w:rPr>
                <w:rFonts w:ascii="宋体" w:hAnsi="宋体" w:cs="宋体"/>
                <w:color w:val="000000"/>
                <w:sz w:val="18"/>
                <w:szCs w:val="18"/>
              </w:rPr>
            </w:pPr>
            <w:r>
              <w:rPr>
                <w:rFonts w:hint="eastAsia" w:ascii="宋体" w:hAnsi="宋体" w:cs="宋体"/>
                <w:color w:val="000000"/>
                <w:kern w:val="0"/>
                <w:sz w:val="18"/>
                <w:szCs w:val="18"/>
              </w:rPr>
              <w:t>【法律】《中华人民共和国农村土地承包经营纠纷调解仲裁法》（2009年6月27日主席令第十四号）</w:t>
            </w:r>
            <w:r>
              <w:rPr>
                <w:rFonts w:hint="eastAsia" w:ascii="宋体" w:hAnsi="宋体" w:cs="宋体"/>
                <w:color w:val="000000"/>
                <w:spacing w:val="-6"/>
                <w:kern w:val="0"/>
                <w:sz w:val="18"/>
                <w:szCs w:val="18"/>
              </w:rPr>
              <w:t>第十二条 农村土地承包仲裁委员会，根据解决农村土地承包经营纠纷的实际需要设立。农村土地承包仲裁委员会可以在县和不设区的市设立，也可以在设区的市或者其市辖区设立。农村土地承包仲裁委员会在当地人民政府指导下设立。设立农村土地承包仲裁委员会的，其日常工作由当地农村土地承包管理部门承担。</w:t>
            </w:r>
          </w:p>
        </w:tc>
        <w:tc>
          <w:tcPr>
            <w:tcW w:w="927" w:type="dxa"/>
            <w:tcBorders>
              <w:top w:val="single" w:color="000000" w:sz="4" w:space="0"/>
              <w:left w:val="single" w:color="000000" w:sz="4" w:space="0"/>
              <w:bottom w:val="single" w:color="000000" w:sz="4" w:space="0"/>
              <w:right w:val="single" w:color="000000" w:sz="4" w:space="0"/>
            </w:tcBorders>
            <w:vAlign w:val="center"/>
          </w:tcPr>
          <w:p w14:paraId="0111021F">
            <w:pPr>
              <w:widowControl/>
              <w:spacing w:line="240" w:lineRule="exact"/>
              <w:jc w:val="center"/>
              <w:textAlignment w:val="center"/>
              <w:rPr>
                <w:rFonts w:ascii="宋体" w:hAnsi="宋体" w:cs="宋体"/>
                <w:color w:val="000000"/>
                <w:kern w:val="0"/>
                <w:sz w:val="18"/>
                <w:szCs w:val="18"/>
              </w:rPr>
            </w:pPr>
            <w:r>
              <w:rPr>
                <w:rFonts w:hint="eastAsia" w:ascii="宋体" w:hAnsi="宋体" w:cs="宋体"/>
                <w:color w:val="000000"/>
                <w:kern w:val="0"/>
                <w:sz w:val="18"/>
                <w:szCs w:val="18"/>
              </w:rPr>
              <w:t>县农业</w:t>
            </w:r>
          </w:p>
          <w:p w14:paraId="6B908548">
            <w:pPr>
              <w:widowControl/>
              <w:spacing w:line="240" w:lineRule="exact"/>
              <w:jc w:val="center"/>
              <w:textAlignment w:val="center"/>
              <w:rPr>
                <w:rFonts w:ascii="宋体" w:hAnsi="宋体" w:cs="宋体"/>
                <w:color w:val="000000"/>
                <w:sz w:val="18"/>
                <w:szCs w:val="18"/>
              </w:rPr>
            </w:pPr>
            <w:r>
              <w:rPr>
                <w:rFonts w:hint="eastAsia" w:ascii="宋体" w:hAnsi="宋体" w:cs="宋体"/>
                <w:color w:val="000000"/>
                <w:kern w:val="0"/>
                <w:sz w:val="18"/>
                <w:szCs w:val="18"/>
              </w:rPr>
              <w:t>农村局</w:t>
            </w:r>
          </w:p>
        </w:tc>
        <w:tc>
          <w:tcPr>
            <w:tcW w:w="924" w:type="dxa"/>
            <w:tcBorders>
              <w:top w:val="single" w:color="000000" w:sz="4" w:space="0"/>
              <w:left w:val="single" w:color="000000" w:sz="4" w:space="0"/>
              <w:bottom w:val="single" w:color="000000" w:sz="4" w:space="0"/>
              <w:right w:val="single" w:color="000000" w:sz="4" w:space="0"/>
            </w:tcBorders>
            <w:vAlign w:val="center"/>
          </w:tcPr>
          <w:p w14:paraId="3C50A201">
            <w:pPr>
              <w:widowControl/>
              <w:spacing w:line="240" w:lineRule="exact"/>
              <w:jc w:val="center"/>
              <w:textAlignment w:val="center"/>
              <w:rPr>
                <w:rFonts w:ascii="宋体" w:hAnsi="宋体" w:cs="宋体"/>
                <w:color w:val="000000"/>
                <w:sz w:val="18"/>
                <w:szCs w:val="18"/>
              </w:rPr>
            </w:pPr>
            <w:r>
              <w:rPr>
                <w:rFonts w:hint="eastAsia" w:ascii="宋体" w:hAnsi="宋体" w:cs="宋体"/>
                <w:color w:val="000000"/>
                <w:kern w:val="0"/>
                <w:sz w:val="18"/>
                <w:szCs w:val="18"/>
              </w:rPr>
              <w:t>承接</w:t>
            </w:r>
          </w:p>
        </w:tc>
        <w:tc>
          <w:tcPr>
            <w:tcW w:w="1020" w:type="dxa"/>
            <w:tcBorders>
              <w:top w:val="single" w:color="000000" w:sz="4" w:space="0"/>
              <w:left w:val="single" w:color="000000" w:sz="4" w:space="0"/>
              <w:bottom w:val="single" w:color="000000" w:sz="4" w:space="0"/>
              <w:right w:val="single" w:color="000000" w:sz="4" w:space="0"/>
            </w:tcBorders>
            <w:vAlign w:val="center"/>
          </w:tcPr>
          <w:p w14:paraId="7406ECBF">
            <w:pPr>
              <w:widowControl/>
              <w:spacing w:line="240" w:lineRule="exact"/>
              <w:jc w:val="left"/>
              <w:textAlignment w:val="center"/>
              <w:rPr>
                <w:rFonts w:hint="eastAsia" w:ascii="宋体" w:hAnsi="宋体" w:eastAsia="宋体" w:cs="宋体"/>
                <w:color w:val="000000"/>
                <w:kern w:val="0"/>
                <w:sz w:val="18"/>
                <w:szCs w:val="18"/>
                <w:lang w:eastAsia="zh-CN"/>
              </w:rPr>
            </w:pPr>
            <w:r>
              <w:rPr>
                <w:rFonts w:hint="eastAsia" w:ascii="宋体" w:hAnsi="宋体" w:cs="宋体"/>
                <w:color w:val="000000"/>
                <w:kern w:val="0"/>
                <w:sz w:val="18"/>
                <w:szCs w:val="18"/>
              </w:rPr>
              <w:t>1.加强业务学习。</w:t>
            </w:r>
          </w:p>
          <w:p w14:paraId="69E9D25B">
            <w:pPr>
              <w:widowControl/>
              <w:spacing w:line="240" w:lineRule="exact"/>
              <w:jc w:val="left"/>
              <w:textAlignment w:val="center"/>
              <w:rPr>
                <w:rFonts w:ascii="宋体" w:hAnsi="宋体" w:cs="宋体"/>
                <w:color w:val="000000"/>
                <w:sz w:val="18"/>
                <w:szCs w:val="18"/>
              </w:rPr>
            </w:pPr>
            <w:r>
              <w:rPr>
                <w:rFonts w:hint="eastAsia" w:ascii="宋体" w:hAnsi="宋体" w:cs="宋体"/>
                <w:color w:val="000000"/>
                <w:kern w:val="0"/>
                <w:sz w:val="18"/>
                <w:szCs w:val="18"/>
              </w:rPr>
              <w:t>2.建立随机抽查监管机制，对承接事项进行跟踪检查。</w:t>
            </w:r>
          </w:p>
        </w:tc>
        <w:tc>
          <w:tcPr>
            <w:tcW w:w="597" w:type="dxa"/>
            <w:gridSpan w:val="2"/>
            <w:tcBorders>
              <w:top w:val="single" w:color="000000" w:sz="4" w:space="0"/>
              <w:left w:val="single" w:color="000000" w:sz="4" w:space="0"/>
              <w:bottom w:val="single" w:color="000000" w:sz="4" w:space="0"/>
              <w:right w:val="single" w:color="000000" w:sz="4" w:space="0"/>
            </w:tcBorders>
            <w:vAlign w:val="center"/>
          </w:tcPr>
          <w:p w14:paraId="49FA34B3">
            <w:pPr>
              <w:spacing w:line="240" w:lineRule="exact"/>
              <w:jc w:val="left"/>
              <w:rPr>
                <w:rFonts w:ascii="宋体" w:hAnsi="宋体" w:cs="宋体"/>
                <w:color w:val="000000"/>
                <w:sz w:val="18"/>
                <w:szCs w:val="18"/>
              </w:rPr>
            </w:pPr>
          </w:p>
        </w:tc>
      </w:tr>
      <w:tr w14:paraId="4BB1B8BF">
        <w:tblPrEx>
          <w:tblCellMar>
            <w:top w:w="0" w:type="dxa"/>
            <w:left w:w="108" w:type="dxa"/>
            <w:bottom w:w="0" w:type="dxa"/>
            <w:right w:w="108" w:type="dxa"/>
          </w:tblCellMar>
        </w:tblPrEx>
        <w:trPr>
          <w:trHeight w:val="90" w:hRule="atLeast"/>
          <w:jc w:val="center"/>
        </w:trPr>
        <w:tc>
          <w:tcPr>
            <w:tcW w:w="758" w:type="dxa"/>
            <w:tcBorders>
              <w:top w:val="single" w:color="000000" w:sz="4" w:space="0"/>
              <w:left w:val="single" w:color="000000" w:sz="4" w:space="0"/>
              <w:bottom w:val="single" w:color="000000" w:sz="4" w:space="0"/>
              <w:right w:val="single" w:color="000000" w:sz="4" w:space="0"/>
            </w:tcBorders>
            <w:vAlign w:val="center"/>
          </w:tcPr>
          <w:p w14:paraId="3B490927">
            <w:pPr>
              <w:widowControl/>
              <w:spacing w:line="240" w:lineRule="exact"/>
              <w:jc w:val="center"/>
              <w:textAlignment w:val="center"/>
              <w:rPr>
                <w:rFonts w:ascii="宋体" w:hAnsi="宋体" w:cs="宋体"/>
                <w:color w:val="000000"/>
                <w:sz w:val="18"/>
                <w:szCs w:val="18"/>
              </w:rPr>
            </w:pPr>
            <w:r>
              <w:rPr>
                <w:rFonts w:hint="eastAsia" w:ascii="宋体" w:hAnsi="宋体" w:cs="宋体"/>
                <w:color w:val="000000"/>
                <w:kern w:val="0"/>
                <w:sz w:val="18"/>
                <w:szCs w:val="18"/>
              </w:rPr>
              <w:t>21</w:t>
            </w:r>
          </w:p>
        </w:tc>
        <w:tc>
          <w:tcPr>
            <w:tcW w:w="1147" w:type="dxa"/>
            <w:tcBorders>
              <w:top w:val="single" w:color="000000" w:sz="4" w:space="0"/>
              <w:left w:val="single" w:color="000000" w:sz="4" w:space="0"/>
              <w:bottom w:val="single" w:color="000000" w:sz="4" w:space="0"/>
              <w:right w:val="single" w:color="000000" w:sz="4" w:space="0"/>
            </w:tcBorders>
            <w:vAlign w:val="center"/>
          </w:tcPr>
          <w:p w14:paraId="7D268AD4">
            <w:pPr>
              <w:widowControl/>
              <w:spacing w:line="240" w:lineRule="exact"/>
              <w:jc w:val="left"/>
              <w:textAlignment w:val="center"/>
              <w:rPr>
                <w:rFonts w:ascii="宋体" w:hAnsi="宋体" w:cs="宋体"/>
                <w:color w:val="000000"/>
                <w:sz w:val="18"/>
                <w:szCs w:val="18"/>
              </w:rPr>
            </w:pPr>
            <w:r>
              <w:rPr>
                <w:rFonts w:hint="eastAsia" w:ascii="宋体" w:hAnsi="宋体" w:cs="宋体"/>
                <w:color w:val="000000"/>
                <w:kern w:val="0"/>
                <w:sz w:val="18"/>
                <w:szCs w:val="18"/>
              </w:rPr>
              <w:t>动物疫情（不包括重大动物疫情）的认定</w:t>
            </w:r>
          </w:p>
        </w:tc>
        <w:tc>
          <w:tcPr>
            <w:tcW w:w="998" w:type="dxa"/>
            <w:tcBorders>
              <w:top w:val="single" w:color="000000" w:sz="4" w:space="0"/>
              <w:left w:val="single" w:color="000000" w:sz="4" w:space="0"/>
              <w:bottom w:val="single" w:color="000000" w:sz="4" w:space="0"/>
              <w:right w:val="single" w:color="000000" w:sz="4" w:space="0"/>
            </w:tcBorders>
            <w:vAlign w:val="center"/>
          </w:tcPr>
          <w:p w14:paraId="7355AB0C">
            <w:pPr>
              <w:spacing w:line="240" w:lineRule="exact"/>
              <w:jc w:val="left"/>
              <w:rPr>
                <w:rFonts w:ascii="宋体" w:hAnsi="宋体" w:cs="宋体"/>
                <w:color w:val="000000"/>
                <w:sz w:val="18"/>
                <w:szCs w:val="18"/>
              </w:rPr>
            </w:pPr>
          </w:p>
        </w:tc>
        <w:tc>
          <w:tcPr>
            <w:tcW w:w="966" w:type="dxa"/>
            <w:tcBorders>
              <w:top w:val="single" w:color="000000" w:sz="4" w:space="0"/>
              <w:left w:val="single" w:color="000000" w:sz="4" w:space="0"/>
              <w:bottom w:val="single" w:color="000000" w:sz="4" w:space="0"/>
              <w:right w:val="single" w:color="000000" w:sz="4" w:space="0"/>
            </w:tcBorders>
            <w:vAlign w:val="center"/>
          </w:tcPr>
          <w:p w14:paraId="5BDE35AE">
            <w:pPr>
              <w:widowControl/>
              <w:spacing w:line="240" w:lineRule="exact"/>
              <w:jc w:val="center"/>
              <w:textAlignment w:val="center"/>
              <w:rPr>
                <w:rFonts w:ascii="宋体" w:hAnsi="宋体" w:cs="宋体"/>
                <w:color w:val="000000"/>
                <w:sz w:val="18"/>
                <w:szCs w:val="18"/>
              </w:rPr>
            </w:pPr>
            <w:r>
              <w:rPr>
                <w:rFonts w:hint="eastAsia" w:ascii="宋体" w:hAnsi="宋体" w:cs="宋体"/>
                <w:color w:val="000000"/>
                <w:kern w:val="0"/>
                <w:sz w:val="18"/>
                <w:szCs w:val="18"/>
              </w:rPr>
              <w:t>行政确认</w:t>
            </w:r>
          </w:p>
        </w:tc>
        <w:tc>
          <w:tcPr>
            <w:tcW w:w="2869" w:type="dxa"/>
            <w:tcBorders>
              <w:top w:val="single" w:color="000000" w:sz="4" w:space="0"/>
              <w:left w:val="single" w:color="000000" w:sz="4" w:space="0"/>
              <w:bottom w:val="single" w:color="000000" w:sz="4" w:space="0"/>
              <w:right w:val="single" w:color="000000" w:sz="4" w:space="0"/>
            </w:tcBorders>
            <w:vAlign w:val="center"/>
          </w:tcPr>
          <w:p w14:paraId="429B2721">
            <w:pPr>
              <w:widowControl/>
              <w:spacing w:line="240" w:lineRule="exact"/>
              <w:jc w:val="left"/>
              <w:textAlignment w:val="center"/>
              <w:rPr>
                <w:rFonts w:hint="eastAsia" w:ascii="宋体" w:hAnsi="宋体" w:eastAsia="宋体" w:cs="宋体"/>
                <w:color w:val="000000"/>
                <w:kern w:val="0"/>
                <w:sz w:val="18"/>
                <w:szCs w:val="18"/>
                <w:lang w:eastAsia="zh-CN"/>
              </w:rPr>
            </w:pPr>
            <w:r>
              <w:rPr>
                <w:rFonts w:hint="eastAsia" w:ascii="宋体" w:hAnsi="宋体" w:cs="宋体"/>
                <w:color w:val="000000"/>
                <w:kern w:val="0"/>
                <w:sz w:val="18"/>
                <w:szCs w:val="18"/>
              </w:rPr>
              <w:t>【法律】《中华人民共和国动物防疫法》（1997年7月3日主席令第八十七号，2015年4月24日予以修改）</w:t>
            </w:r>
          </w:p>
          <w:p w14:paraId="613DA280">
            <w:pPr>
              <w:widowControl/>
              <w:spacing w:line="240" w:lineRule="exact"/>
              <w:jc w:val="left"/>
              <w:textAlignment w:val="center"/>
              <w:rPr>
                <w:rFonts w:ascii="宋体" w:hAnsi="宋体" w:cs="宋体"/>
                <w:color w:val="000000"/>
                <w:sz w:val="18"/>
                <w:szCs w:val="18"/>
              </w:rPr>
            </w:pPr>
            <w:r>
              <w:rPr>
                <w:rFonts w:hint="eastAsia" w:ascii="宋体" w:hAnsi="宋体" w:cs="宋体"/>
                <w:color w:val="000000"/>
                <w:kern w:val="0"/>
                <w:sz w:val="18"/>
                <w:szCs w:val="18"/>
              </w:rPr>
              <w:t>第二十七条 动物疫情由县级以上人民政府兽医主管部门认定；其中重大动物疫情由省、自治区、直辖市人民政府兽医主管部门认定，必要时报国务院兽医主管部门认定。</w:t>
            </w:r>
          </w:p>
        </w:tc>
        <w:tc>
          <w:tcPr>
            <w:tcW w:w="927" w:type="dxa"/>
            <w:tcBorders>
              <w:top w:val="single" w:color="000000" w:sz="4" w:space="0"/>
              <w:left w:val="single" w:color="000000" w:sz="4" w:space="0"/>
              <w:bottom w:val="single" w:color="000000" w:sz="4" w:space="0"/>
              <w:right w:val="single" w:color="000000" w:sz="4" w:space="0"/>
            </w:tcBorders>
            <w:vAlign w:val="center"/>
          </w:tcPr>
          <w:p w14:paraId="4276272E">
            <w:pPr>
              <w:widowControl/>
              <w:spacing w:line="240" w:lineRule="exact"/>
              <w:jc w:val="center"/>
              <w:textAlignment w:val="center"/>
              <w:rPr>
                <w:rFonts w:ascii="宋体" w:hAnsi="宋体" w:cs="宋体"/>
                <w:color w:val="000000"/>
                <w:kern w:val="0"/>
                <w:sz w:val="18"/>
                <w:szCs w:val="18"/>
              </w:rPr>
            </w:pPr>
            <w:r>
              <w:rPr>
                <w:rFonts w:hint="eastAsia" w:ascii="宋体" w:hAnsi="宋体" w:cs="宋体"/>
                <w:color w:val="000000"/>
                <w:kern w:val="0"/>
                <w:sz w:val="18"/>
                <w:szCs w:val="18"/>
              </w:rPr>
              <w:t>县农业</w:t>
            </w:r>
          </w:p>
          <w:p w14:paraId="68544B16">
            <w:pPr>
              <w:widowControl/>
              <w:spacing w:line="240" w:lineRule="exact"/>
              <w:jc w:val="center"/>
              <w:textAlignment w:val="center"/>
              <w:rPr>
                <w:rFonts w:ascii="宋体" w:hAnsi="宋体" w:cs="宋体"/>
                <w:color w:val="000000"/>
                <w:sz w:val="18"/>
                <w:szCs w:val="18"/>
              </w:rPr>
            </w:pPr>
            <w:r>
              <w:rPr>
                <w:rFonts w:hint="eastAsia" w:ascii="宋体" w:hAnsi="宋体" w:cs="宋体"/>
                <w:color w:val="000000"/>
                <w:kern w:val="0"/>
                <w:sz w:val="18"/>
                <w:szCs w:val="18"/>
              </w:rPr>
              <w:t>农村局</w:t>
            </w:r>
          </w:p>
        </w:tc>
        <w:tc>
          <w:tcPr>
            <w:tcW w:w="924" w:type="dxa"/>
            <w:tcBorders>
              <w:top w:val="single" w:color="000000" w:sz="4" w:space="0"/>
              <w:left w:val="single" w:color="000000" w:sz="4" w:space="0"/>
              <w:bottom w:val="single" w:color="000000" w:sz="4" w:space="0"/>
              <w:right w:val="single" w:color="000000" w:sz="4" w:space="0"/>
            </w:tcBorders>
            <w:vAlign w:val="center"/>
          </w:tcPr>
          <w:p w14:paraId="0C2FC693">
            <w:pPr>
              <w:widowControl/>
              <w:spacing w:line="240" w:lineRule="exact"/>
              <w:jc w:val="center"/>
              <w:textAlignment w:val="center"/>
              <w:rPr>
                <w:rFonts w:ascii="宋体" w:hAnsi="宋体" w:cs="宋体"/>
                <w:color w:val="000000"/>
                <w:sz w:val="18"/>
                <w:szCs w:val="18"/>
              </w:rPr>
            </w:pPr>
            <w:r>
              <w:rPr>
                <w:rFonts w:hint="eastAsia" w:ascii="宋体" w:hAnsi="宋体" w:cs="宋体"/>
                <w:color w:val="000000"/>
                <w:kern w:val="0"/>
                <w:sz w:val="18"/>
                <w:szCs w:val="18"/>
              </w:rPr>
              <w:t>承接</w:t>
            </w:r>
          </w:p>
        </w:tc>
        <w:tc>
          <w:tcPr>
            <w:tcW w:w="1020" w:type="dxa"/>
            <w:tcBorders>
              <w:top w:val="single" w:color="000000" w:sz="4" w:space="0"/>
              <w:left w:val="single" w:color="000000" w:sz="4" w:space="0"/>
              <w:bottom w:val="single" w:color="000000" w:sz="4" w:space="0"/>
              <w:right w:val="single" w:color="000000" w:sz="4" w:space="0"/>
            </w:tcBorders>
            <w:vAlign w:val="center"/>
          </w:tcPr>
          <w:p w14:paraId="74E8F464">
            <w:pPr>
              <w:widowControl/>
              <w:spacing w:line="240" w:lineRule="exact"/>
              <w:jc w:val="left"/>
              <w:textAlignment w:val="center"/>
              <w:rPr>
                <w:rFonts w:hint="eastAsia" w:ascii="宋体" w:hAnsi="宋体" w:eastAsia="宋体" w:cs="宋体"/>
                <w:color w:val="000000"/>
                <w:kern w:val="0"/>
                <w:sz w:val="18"/>
                <w:szCs w:val="18"/>
                <w:lang w:eastAsia="zh-CN"/>
              </w:rPr>
            </w:pPr>
            <w:r>
              <w:rPr>
                <w:rFonts w:hint="eastAsia" w:ascii="宋体" w:hAnsi="宋体" w:cs="宋体"/>
                <w:color w:val="000000"/>
                <w:kern w:val="0"/>
                <w:sz w:val="18"/>
                <w:szCs w:val="18"/>
              </w:rPr>
              <w:t>1.加强业务学习。</w:t>
            </w:r>
          </w:p>
          <w:p w14:paraId="72028B83">
            <w:pPr>
              <w:widowControl/>
              <w:spacing w:line="240" w:lineRule="exact"/>
              <w:jc w:val="left"/>
              <w:textAlignment w:val="center"/>
              <w:rPr>
                <w:rFonts w:ascii="宋体" w:hAnsi="宋体" w:cs="宋体"/>
                <w:color w:val="000000"/>
                <w:sz w:val="18"/>
                <w:szCs w:val="18"/>
              </w:rPr>
            </w:pPr>
            <w:r>
              <w:rPr>
                <w:rFonts w:hint="eastAsia" w:ascii="宋体" w:hAnsi="宋体" w:cs="宋体"/>
                <w:color w:val="000000"/>
                <w:kern w:val="0"/>
                <w:sz w:val="18"/>
                <w:szCs w:val="18"/>
              </w:rPr>
              <w:t>2.建立随机抽查监管机制，对承接事项进行跟踪检查。</w:t>
            </w:r>
          </w:p>
        </w:tc>
        <w:tc>
          <w:tcPr>
            <w:tcW w:w="597" w:type="dxa"/>
            <w:gridSpan w:val="2"/>
            <w:tcBorders>
              <w:top w:val="single" w:color="000000" w:sz="4" w:space="0"/>
              <w:left w:val="single" w:color="000000" w:sz="4" w:space="0"/>
              <w:bottom w:val="single" w:color="000000" w:sz="4" w:space="0"/>
              <w:right w:val="single" w:color="000000" w:sz="4" w:space="0"/>
            </w:tcBorders>
            <w:vAlign w:val="center"/>
          </w:tcPr>
          <w:p w14:paraId="2BCFF23C">
            <w:pPr>
              <w:spacing w:line="240" w:lineRule="exact"/>
              <w:jc w:val="left"/>
              <w:rPr>
                <w:rFonts w:ascii="宋体" w:hAnsi="宋体" w:cs="宋体"/>
                <w:color w:val="000000"/>
                <w:sz w:val="18"/>
                <w:szCs w:val="18"/>
              </w:rPr>
            </w:pPr>
          </w:p>
        </w:tc>
      </w:tr>
      <w:tr w14:paraId="0E5D2340">
        <w:tblPrEx>
          <w:tblCellMar>
            <w:top w:w="0" w:type="dxa"/>
            <w:left w:w="108" w:type="dxa"/>
            <w:bottom w:w="0" w:type="dxa"/>
            <w:right w:w="108" w:type="dxa"/>
          </w:tblCellMar>
        </w:tblPrEx>
        <w:trPr>
          <w:trHeight w:val="3575" w:hRule="atLeast"/>
          <w:jc w:val="center"/>
        </w:trPr>
        <w:tc>
          <w:tcPr>
            <w:tcW w:w="758" w:type="dxa"/>
            <w:tcBorders>
              <w:top w:val="single" w:color="000000" w:sz="4" w:space="0"/>
              <w:left w:val="single" w:color="000000" w:sz="4" w:space="0"/>
              <w:bottom w:val="single" w:color="000000" w:sz="4" w:space="0"/>
              <w:right w:val="single" w:color="000000" w:sz="4" w:space="0"/>
            </w:tcBorders>
            <w:vAlign w:val="center"/>
          </w:tcPr>
          <w:p w14:paraId="247D60D8">
            <w:pPr>
              <w:widowControl/>
              <w:spacing w:line="240" w:lineRule="exact"/>
              <w:jc w:val="center"/>
              <w:textAlignment w:val="center"/>
              <w:rPr>
                <w:rFonts w:ascii="宋体" w:hAnsi="宋体" w:cs="宋体"/>
                <w:color w:val="000000"/>
                <w:sz w:val="18"/>
                <w:szCs w:val="18"/>
              </w:rPr>
            </w:pPr>
            <w:r>
              <w:rPr>
                <w:rFonts w:hint="eastAsia" w:ascii="宋体" w:hAnsi="宋体" w:cs="宋体"/>
                <w:color w:val="000000"/>
                <w:kern w:val="0"/>
                <w:sz w:val="18"/>
                <w:szCs w:val="18"/>
              </w:rPr>
              <w:t>22</w:t>
            </w:r>
          </w:p>
        </w:tc>
        <w:tc>
          <w:tcPr>
            <w:tcW w:w="1147" w:type="dxa"/>
            <w:tcBorders>
              <w:top w:val="single" w:color="000000" w:sz="4" w:space="0"/>
              <w:left w:val="single" w:color="000000" w:sz="4" w:space="0"/>
              <w:bottom w:val="single" w:color="000000" w:sz="4" w:space="0"/>
              <w:right w:val="single" w:color="000000" w:sz="4" w:space="0"/>
            </w:tcBorders>
            <w:vAlign w:val="center"/>
          </w:tcPr>
          <w:p w14:paraId="16A3684B">
            <w:pPr>
              <w:widowControl/>
              <w:spacing w:line="240" w:lineRule="exact"/>
              <w:jc w:val="left"/>
              <w:textAlignment w:val="center"/>
              <w:rPr>
                <w:rFonts w:ascii="宋体" w:hAnsi="宋体" w:cs="宋体"/>
                <w:color w:val="000000"/>
                <w:sz w:val="18"/>
                <w:szCs w:val="18"/>
              </w:rPr>
            </w:pPr>
            <w:r>
              <w:rPr>
                <w:rFonts w:hint="eastAsia" w:ascii="宋体" w:hAnsi="宋体" w:cs="宋体"/>
                <w:color w:val="000000"/>
                <w:kern w:val="0"/>
                <w:sz w:val="18"/>
                <w:szCs w:val="18"/>
              </w:rPr>
              <w:t>固定资产投资项目节能审查</w:t>
            </w:r>
          </w:p>
        </w:tc>
        <w:tc>
          <w:tcPr>
            <w:tcW w:w="998" w:type="dxa"/>
            <w:tcBorders>
              <w:top w:val="single" w:color="000000" w:sz="4" w:space="0"/>
              <w:left w:val="single" w:color="000000" w:sz="4" w:space="0"/>
              <w:bottom w:val="single" w:color="000000" w:sz="4" w:space="0"/>
              <w:right w:val="single" w:color="000000" w:sz="4" w:space="0"/>
            </w:tcBorders>
            <w:vAlign w:val="center"/>
          </w:tcPr>
          <w:p w14:paraId="4CC6420F">
            <w:pPr>
              <w:spacing w:line="240" w:lineRule="exact"/>
              <w:jc w:val="left"/>
              <w:rPr>
                <w:rFonts w:ascii="宋体" w:hAnsi="宋体" w:cs="宋体"/>
                <w:color w:val="000000"/>
                <w:sz w:val="18"/>
                <w:szCs w:val="18"/>
              </w:rPr>
            </w:pPr>
          </w:p>
        </w:tc>
        <w:tc>
          <w:tcPr>
            <w:tcW w:w="966" w:type="dxa"/>
            <w:tcBorders>
              <w:top w:val="single" w:color="000000" w:sz="4" w:space="0"/>
              <w:left w:val="single" w:color="000000" w:sz="4" w:space="0"/>
              <w:bottom w:val="single" w:color="000000" w:sz="4" w:space="0"/>
              <w:right w:val="single" w:color="000000" w:sz="4" w:space="0"/>
            </w:tcBorders>
            <w:vAlign w:val="center"/>
          </w:tcPr>
          <w:p w14:paraId="0C192D02">
            <w:pPr>
              <w:widowControl/>
              <w:spacing w:line="240" w:lineRule="exact"/>
              <w:jc w:val="center"/>
              <w:textAlignment w:val="center"/>
              <w:rPr>
                <w:rFonts w:ascii="宋体" w:hAnsi="宋体" w:cs="宋体"/>
                <w:color w:val="000000"/>
                <w:sz w:val="18"/>
                <w:szCs w:val="18"/>
              </w:rPr>
            </w:pPr>
            <w:r>
              <w:rPr>
                <w:rFonts w:hint="eastAsia" w:ascii="宋体" w:hAnsi="宋体" w:cs="宋体"/>
                <w:color w:val="000000"/>
                <w:kern w:val="0"/>
                <w:sz w:val="18"/>
                <w:szCs w:val="18"/>
              </w:rPr>
              <w:t>行政许可</w:t>
            </w:r>
          </w:p>
        </w:tc>
        <w:tc>
          <w:tcPr>
            <w:tcW w:w="2869" w:type="dxa"/>
            <w:tcBorders>
              <w:top w:val="single" w:color="000000" w:sz="4" w:space="0"/>
              <w:left w:val="single" w:color="000000" w:sz="4" w:space="0"/>
              <w:bottom w:val="single" w:color="000000" w:sz="4" w:space="0"/>
              <w:right w:val="single" w:color="000000" w:sz="4" w:space="0"/>
            </w:tcBorders>
            <w:vAlign w:val="center"/>
          </w:tcPr>
          <w:p w14:paraId="4B3F7567">
            <w:pPr>
              <w:widowControl/>
              <w:spacing w:line="240" w:lineRule="exact"/>
              <w:jc w:val="left"/>
              <w:textAlignment w:val="center"/>
              <w:rPr>
                <w:rFonts w:hint="eastAsia" w:ascii="宋体" w:hAnsi="宋体" w:eastAsia="宋体" w:cs="宋体"/>
                <w:color w:val="000000"/>
                <w:kern w:val="0"/>
                <w:sz w:val="18"/>
                <w:szCs w:val="18"/>
                <w:lang w:eastAsia="zh-CN"/>
              </w:rPr>
            </w:pPr>
            <w:r>
              <w:rPr>
                <w:rFonts w:hint="eastAsia" w:ascii="宋体" w:hAnsi="宋体" w:cs="宋体"/>
                <w:color w:val="000000"/>
                <w:kern w:val="0"/>
                <w:sz w:val="18"/>
                <w:szCs w:val="18"/>
              </w:rPr>
              <w:t>【法律】《中华人民共和国节约能源法》（2016年7月修订）第十五条 国家实行固定资产投资项目节能评估和审查制度。不符合强制性节能标准的项目，建设单位不得开工建设；已经建成的，不得投入生产、使用。政府投资项目不符合强制性节能标准的，依法负责项目审批的机关不得批准建设。</w:t>
            </w:r>
          </w:p>
          <w:p w14:paraId="0CC6FC78">
            <w:pPr>
              <w:widowControl/>
              <w:spacing w:line="240" w:lineRule="exact"/>
              <w:jc w:val="left"/>
              <w:textAlignment w:val="center"/>
              <w:rPr>
                <w:rFonts w:hint="eastAsia" w:ascii="宋体" w:hAnsi="宋体" w:eastAsia="宋体" w:cs="宋体"/>
                <w:color w:val="000000"/>
                <w:kern w:val="0"/>
                <w:sz w:val="18"/>
                <w:szCs w:val="18"/>
                <w:lang w:eastAsia="zh-CN"/>
              </w:rPr>
            </w:pPr>
            <w:r>
              <w:rPr>
                <w:rFonts w:hint="eastAsia" w:ascii="宋体" w:hAnsi="宋体" w:cs="宋体"/>
                <w:color w:val="000000"/>
                <w:kern w:val="0"/>
                <w:sz w:val="18"/>
                <w:szCs w:val="18"/>
              </w:rPr>
              <w:t>【部门规章】《固定资产投资项目节能审查办法》（2016年国家发展改革委第44号令）</w:t>
            </w:r>
          </w:p>
          <w:p w14:paraId="306D65AD">
            <w:pPr>
              <w:widowControl/>
              <w:spacing w:line="240" w:lineRule="exact"/>
              <w:jc w:val="left"/>
              <w:textAlignment w:val="center"/>
              <w:rPr>
                <w:rFonts w:hint="eastAsia" w:ascii="宋体" w:hAnsi="宋体" w:eastAsia="宋体" w:cs="宋体"/>
                <w:color w:val="000000"/>
                <w:spacing w:val="-6"/>
                <w:kern w:val="0"/>
                <w:sz w:val="18"/>
                <w:szCs w:val="18"/>
                <w:lang w:eastAsia="zh-CN"/>
              </w:rPr>
            </w:pPr>
            <w:r>
              <w:rPr>
                <w:rFonts w:hint="eastAsia" w:ascii="宋体" w:hAnsi="宋体" w:cs="宋体"/>
                <w:color w:val="000000"/>
                <w:kern w:val="0"/>
                <w:sz w:val="18"/>
                <w:szCs w:val="18"/>
              </w:rPr>
              <w:t xml:space="preserve">第三条  固定资产投资项目节能审查意见是项目开工建设、竣工验收和运营管理的重要依据。政府投资项目，建设单位在报送项目可行性研究报告前，需取得节能审查机关出具的节能审查意见。企业投资项目，建设单位需在开工建设前取得节能审查机关出具的节能审查意见。未按本办法规定进行节能审查，或节能审查未通过的项目，建设单位不得开工建设，已经建成的不得投入生产、使用。第五条  固定资产投资项目节能审查由地方节能审查机关负责。国家发展改革委核报国务院审批以及国家发展改革委审批的政府投资项目，建设单位在报送项目可行性研究报告前，需取得省级节能审查机关出具的节能审查意见。国家发展改革委核报国务院核准以及国家发展改革委核准的企业投资项目，建设单位需在开工建设前取得省级节能审查机关出具的节能审查意见。年综合能源消费量 5000 </w:t>
            </w:r>
            <w:r>
              <w:rPr>
                <w:rFonts w:hint="eastAsia" w:ascii="宋体" w:hAnsi="宋体" w:cs="宋体"/>
                <w:color w:val="000000"/>
                <w:spacing w:val="-6"/>
                <w:kern w:val="0"/>
                <w:sz w:val="18"/>
                <w:szCs w:val="18"/>
              </w:rPr>
              <w:t>吨标准煤以上（改扩建项目按照建成投产后年综合能源消费增量计算，电力折算系数按当量值，下同）的固定资产投资项目，其节能审查由省级节能审查机关负责。其他固定资产投资项目，其节能审查管理权限由省级节能审查机关依据实际情况自行决定。第七条  建设单位应编制固定资产投资项目节能报告。项目节能报告应包括下列内容：分析评价依据；项目建设方案的节能分析和比选，包括总平面布置、生产工艺、用能工艺、用能设备和能源计量器具等方面；选取节能效果好、技术经济可行的节能技术和管理措施；项目能源消费量、能源消费结构、能源效率等方面的分析；对所在地完成能源消耗总量和强度目标、煤炭消费减量替代目标的影响等方面的分析评价。</w:t>
            </w:r>
          </w:p>
          <w:p w14:paraId="5FAA1370">
            <w:pPr>
              <w:widowControl/>
              <w:spacing w:line="240" w:lineRule="exact"/>
              <w:jc w:val="left"/>
              <w:textAlignment w:val="center"/>
              <w:rPr>
                <w:rFonts w:hint="eastAsia" w:ascii="宋体" w:hAnsi="宋体" w:eastAsia="宋体" w:cs="宋体"/>
                <w:color w:val="000000"/>
                <w:kern w:val="0"/>
                <w:sz w:val="18"/>
                <w:szCs w:val="18"/>
                <w:lang w:eastAsia="zh-CN"/>
              </w:rPr>
            </w:pPr>
            <w:r>
              <w:rPr>
                <w:rFonts w:hint="eastAsia" w:ascii="宋体" w:hAnsi="宋体" w:cs="宋体"/>
                <w:color w:val="000000"/>
                <w:kern w:val="0"/>
                <w:sz w:val="18"/>
                <w:szCs w:val="18"/>
              </w:rPr>
              <w:t>【规范性文件】《省发展改革委关于印发辽宁省固定资产投资项目节能审查实施办法的通知》（辽发改环资〔2018〕441号）第四条  政府投资项目，建设单位在报送可行性研究报告前，需取得节能审查机关出具的节能审查意见。企业投资项目，建设单位在开工建设前，需取得节能审</w:t>
            </w:r>
            <w:r>
              <w:rPr>
                <w:rFonts w:hint="eastAsia" w:ascii="宋体" w:hAnsi="宋体" w:cs="宋体"/>
                <w:color w:val="000000"/>
                <w:kern w:val="0"/>
                <w:sz w:val="18"/>
                <w:szCs w:val="18"/>
                <w:lang w:eastAsia="zh-CN"/>
              </w:rPr>
              <w:t>查</w:t>
            </w:r>
            <w:r>
              <w:rPr>
                <w:rFonts w:hint="eastAsia" w:ascii="宋体" w:hAnsi="宋体" w:cs="宋体"/>
                <w:color w:val="000000"/>
                <w:kern w:val="0"/>
                <w:sz w:val="18"/>
                <w:szCs w:val="18"/>
              </w:rPr>
              <w:t xml:space="preserve">机关出具的节能审查意见。国务院确定的工程建设项目审批制度改革试点地区按有关规定执行。  第七条 固定资产投资项目节能审查按照项目管理权限和用能量实行分级管理。国家发展改革委核报国务院审批、核准以及国家发展改革委审批、核准的固定资产投资项目，省发展改革委核报省人民政府审批、核准以及省发展改革委审批、核准的固定资产投资项目，以及年综合能源消费量5000吨标准煤以上（含5000吨标准煤，改扩建项目按照建成投产后年综合能源消费增量计算，电力折标系数按当量值，下同）的固定资产投资项目，由省级节能审查机关进行节能审查。大连市的固定资产投资项目，其节能审查原则上由大连市节能主管部门负责。年综合能源消费量1000（含）吨标准煤—5000吨标准煤的固定资产投资项目，其节能审查管理权限由市级节能审查机关依据实际情况自行决定，并报省级节能审查机关备案。年综合能源消费量不满1000吨标准煤，且年电力消费量不满500万千瓦时的固定资产投资项目，纳入《不单独进行节能审查的行业目录》的项目，以及涉及国家秘密的项目，不再单独进行节能审查，不再出具节能审查意见。建设单位应在项目可行性研究报告或项目申请报告中对项目能源利用情况、节能措施情况和能效水平进行分析。                           </w:t>
            </w:r>
          </w:p>
          <w:p w14:paraId="56A53966">
            <w:pPr>
              <w:widowControl/>
              <w:spacing w:line="240" w:lineRule="exact"/>
              <w:jc w:val="left"/>
              <w:textAlignment w:val="center"/>
              <w:rPr>
                <w:rFonts w:ascii="宋体" w:hAnsi="宋体" w:cs="宋体"/>
                <w:color w:val="000000"/>
                <w:spacing w:val="-6"/>
                <w:kern w:val="0"/>
                <w:sz w:val="18"/>
                <w:szCs w:val="18"/>
              </w:rPr>
            </w:pPr>
            <w:r>
              <w:rPr>
                <w:rFonts w:hint="eastAsia" w:ascii="宋体" w:hAnsi="宋体" w:cs="宋体"/>
                <w:color w:val="000000"/>
                <w:spacing w:val="-6"/>
                <w:kern w:val="0"/>
                <w:sz w:val="18"/>
                <w:szCs w:val="18"/>
              </w:rPr>
              <w:t>《省发展改革委关于改进固定资产投资项目节能审查有关工作的通知》（辽发改环资〔2019〕386号）合并评审工作流程(二)评审安排。项目审批部门负责安排合并评审事宜。由市、县审批、核准，年综合能源消费量5000(含)吨标准煤以上的项目，由市、县项目审批部门负责依规确定评审机构，根据审批时限要求，安排评审时间。省发展改革委根据情况安排相关专家参加评审。</w:t>
            </w:r>
          </w:p>
        </w:tc>
        <w:tc>
          <w:tcPr>
            <w:tcW w:w="927" w:type="dxa"/>
            <w:tcBorders>
              <w:top w:val="single" w:color="000000" w:sz="4" w:space="0"/>
              <w:left w:val="single" w:color="000000" w:sz="4" w:space="0"/>
              <w:bottom w:val="single" w:color="000000" w:sz="4" w:space="0"/>
              <w:right w:val="single" w:color="000000" w:sz="4" w:space="0"/>
            </w:tcBorders>
            <w:vAlign w:val="center"/>
          </w:tcPr>
          <w:p w14:paraId="1057FC25">
            <w:pPr>
              <w:widowControl/>
              <w:spacing w:line="240" w:lineRule="exact"/>
              <w:jc w:val="center"/>
              <w:textAlignment w:val="center"/>
              <w:rPr>
                <w:rFonts w:ascii="宋体" w:hAnsi="宋体" w:cs="宋体"/>
                <w:color w:val="000000"/>
                <w:sz w:val="18"/>
                <w:szCs w:val="18"/>
              </w:rPr>
            </w:pPr>
            <w:r>
              <w:rPr>
                <w:rFonts w:hint="eastAsia" w:ascii="宋体" w:hAnsi="宋体" w:cs="宋体"/>
                <w:color w:val="000000"/>
                <w:kern w:val="0"/>
                <w:sz w:val="18"/>
                <w:szCs w:val="18"/>
              </w:rPr>
              <w:t>县发改局</w:t>
            </w:r>
          </w:p>
        </w:tc>
        <w:tc>
          <w:tcPr>
            <w:tcW w:w="924" w:type="dxa"/>
            <w:tcBorders>
              <w:top w:val="single" w:color="000000" w:sz="4" w:space="0"/>
              <w:left w:val="single" w:color="000000" w:sz="4" w:space="0"/>
              <w:bottom w:val="single" w:color="000000" w:sz="4" w:space="0"/>
              <w:right w:val="single" w:color="000000" w:sz="4" w:space="0"/>
            </w:tcBorders>
            <w:vAlign w:val="center"/>
          </w:tcPr>
          <w:p w14:paraId="3E5B9611">
            <w:pPr>
              <w:widowControl/>
              <w:spacing w:line="240" w:lineRule="exact"/>
              <w:jc w:val="left"/>
              <w:textAlignment w:val="center"/>
              <w:rPr>
                <w:rFonts w:ascii="宋体" w:hAnsi="宋体" w:cs="宋体"/>
                <w:color w:val="000000"/>
                <w:sz w:val="18"/>
                <w:szCs w:val="18"/>
              </w:rPr>
            </w:pPr>
            <w:r>
              <w:rPr>
                <w:rFonts w:hint="eastAsia" w:ascii="宋体" w:hAnsi="宋体" w:cs="宋体"/>
                <w:color w:val="000000"/>
                <w:kern w:val="0"/>
                <w:sz w:val="18"/>
                <w:szCs w:val="18"/>
              </w:rPr>
              <w:t>将已承接的县级审查权限上交至市发展和改革委行使。</w:t>
            </w:r>
          </w:p>
        </w:tc>
        <w:tc>
          <w:tcPr>
            <w:tcW w:w="1020" w:type="dxa"/>
            <w:tcBorders>
              <w:top w:val="single" w:color="000000" w:sz="4" w:space="0"/>
              <w:left w:val="single" w:color="000000" w:sz="4" w:space="0"/>
              <w:bottom w:val="single" w:color="000000" w:sz="4" w:space="0"/>
              <w:right w:val="single" w:color="000000" w:sz="4" w:space="0"/>
            </w:tcBorders>
            <w:vAlign w:val="center"/>
          </w:tcPr>
          <w:p w14:paraId="102DA3D0">
            <w:pPr>
              <w:widowControl/>
              <w:spacing w:line="240" w:lineRule="exact"/>
              <w:jc w:val="left"/>
              <w:textAlignment w:val="center"/>
              <w:rPr>
                <w:rFonts w:ascii="宋体" w:hAnsi="宋体" w:cs="宋体"/>
                <w:color w:val="000000"/>
                <w:sz w:val="18"/>
                <w:szCs w:val="18"/>
              </w:rPr>
            </w:pPr>
            <w:r>
              <w:rPr>
                <w:rFonts w:hint="eastAsia" w:ascii="宋体" w:hAnsi="宋体" w:cs="宋体"/>
                <w:color w:val="000000"/>
                <w:kern w:val="0"/>
                <w:sz w:val="18"/>
                <w:szCs w:val="18"/>
              </w:rPr>
              <w:t>依据《辽宁省人民政府办公厅关于加强全省高耗能、高排放项目准入管理的意见》（辽政办发[2021]6号）文件要求，年综合能源消费量1000吨（含）—5000吨标准煤的固定资产投资项目，其节能审查管理权限由市级节能审查机关负责，已将节能审查管理权限部分或全部下放至县级的，调整至市级节能审查机关，并报省级节能审查机关备案，收回县、区权限。</w:t>
            </w:r>
          </w:p>
        </w:tc>
        <w:tc>
          <w:tcPr>
            <w:tcW w:w="597" w:type="dxa"/>
            <w:gridSpan w:val="2"/>
            <w:tcBorders>
              <w:top w:val="single" w:color="000000" w:sz="4" w:space="0"/>
              <w:left w:val="single" w:color="000000" w:sz="4" w:space="0"/>
              <w:bottom w:val="single" w:color="000000" w:sz="4" w:space="0"/>
              <w:right w:val="single" w:color="000000" w:sz="4" w:space="0"/>
            </w:tcBorders>
            <w:vAlign w:val="center"/>
          </w:tcPr>
          <w:p w14:paraId="53BF6B43">
            <w:pPr>
              <w:widowControl/>
              <w:spacing w:line="240" w:lineRule="exact"/>
              <w:jc w:val="left"/>
              <w:textAlignment w:val="center"/>
              <w:rPr>
                <w:rFonts w:ascii="宋体" w:hAnsi="宋体" w:cs="宋体"/>
                <w:color w:val="000000"/>
                <w:sz w:val="18"/>
                <w:szCs w:val="18"/>
              </w:rPr>
            </w:pPr>
            <w:r>
              <w:rPr>
                <w:rFonts w:hint="eastAsia" w:ascii="宋体" w:hAnsi="宋体" w:cs="宋体"/>
                <w:color w:val="000000"/>
                <w:kern w:val="0"/>
                <w:sz w:val="18"/>
                <w:szCs w:val="18"/>
              </w:rPr>
              <w:t>此事项为工程建设项目审批事项。</w:t>
            </w:r>
          </w:p>
        </w:tc>
      </w:tr>
      <w:tr w14:paraId="2D30C1C2">
        <w:tblPrEx>
          <w:tblCellMar>
            <w:top w:w="0" w:type="dxa"/>
            <w:left w:w="108" w:type="dxa"/>
            <w:bottom w:w="0" w:type="dxa"/>
            <w:right w:w="108" w:type="dxa"/>
          </w:tblCellMar>
        </w:tblPrEx>
        <w:trPr>
          <w:trHeight w:val="4925" w:hRule="atLeast"/>
          <w:jc w:val="center"/>
        </w:trPr>
        <w:tc>
          <w:tcPr>
            <w:tcW w:w="758" w:type="dxa"/>
            <w:tcBorders>
              <w:top w:val="single" w:color="000000" w:sz="4" w:space="0"/>
              <w:left w:val="single" w:color="000000" w:sz="4" w:space="0"/>
              <w:bottom w:val="single" w:color="000000" w:sz="4" w:space="0"/>
              <w:right w:val="single" w:color="000000" w:sz="4" w:space="0"/>
            </w:tcBorders>
            <w:vAlign w:val="center"/>
          </w:tcPr>
          <w:p w14:paraId="045BCED6">
            <w:pPr>
              <w:widowControl/>
              <w:spacing w:line="240" w:lineRule="exact"/>
              <w:jc w:val="center"/>
              <w:textAlignment w:val="center"/>
              <w:rPr>
                <w:rFonts w:ascii="宋体" w:hAnsi="宋体" w:cs="宋体"/>
                <w:color w:val="000000"/>
                <w:sz w:val="18"/>
                <w:szCs w:val="18"/>
              </w:rPr>
            </w:pPr>
            <w:r>
              <w:rPr>
                <w:rFonts w:hint="eastAsia" w:ascii="宋体" w:hAnsi="宋体" w:cs="宋体"/>
                <w:color w:val="000000"/>
                <w:sz w:val="18"/>
                <w:szCs w:val="18"/>
              </w:rPr>
              <w:t>23</w:t>
            </w:r>
          </w:p>
        </w:tc>
        <w:tc>
          <w:tcPr>
            <w:tcW w:w="1147" w:type="dxa"/>
            <w:tcBorders>
              <w:top w:val="single" w:color="000000" w:sz="4" w:space="0"/>
              <w:left w:val="single" w:color="000000" w:sz="4" w:space="0"/>
              <w:bottom w:val="single" w:color="000000" w:sz="4" w:space="0"/>
              <w:right w:val="single" w:color="000000" w:sz="4" w:space="0"/>
            </w:tcBorders>
            <w:vAlign w:val="center"/>
          </w:tcPr>
          <w:p w14:paraId="19A2EE90">
            <w:pPr>
              <w:widowControl/>
              <w:spacing w:line="240" w:lineRule="exact"/>
              <w:jc w:val="left"/>
              <w:textAlignment w:val="center"/>
              <w:rPr>
                <w:rFonts w:ascii="宋体" w:hAnsi="宋体" w:cs="宋体"/>
                <w:color w:val="000000"/>
                <w:sz w:val="18"/>
                <w:szCs w:val="18"/>
              </w:rPr>
            </w:pPr>
            <w:r>
              <w:rPr>
                <w:rFonts w:hint="eastAsia" w:ascii="宋体" w:hAnsi="宋体" w:cs="宋体"/>
                <w:color w:val="000000"/>
                <w:kern w:val="0"/>
                <w:sz w:val="18"/>
                <w:szCs w:val="18"/>
              </w:rPr>
              <w:t>建筑起重机械备案</w:t>
            </w:r>
          </w:p>
        </w:tc>
        <w:tc>
          <w:tcPr>
            <w:tcW w:w="998" w:type="dxa"/>
            <w:tcBorders>
              <w:top w:val="single" w:color="000000" w:sz="4" w:space="0"/>
              <w:left w:val="single" w:color="000000" w:sz="4" w:space="0"/>
              <w:bottom w:val="single" w:color="000000" w:sz="4" w:space="0"/>
              <w:right w:val="single" w:color="000000" w:sz="4" w:space="0"/>
            </w:tcBorders>
            <w:vAlign w:val="center"/>
          </w:tcPr>
          <w:p w14:paraId="361E19D0">
            <w:pPr>
              <w:spacing w:line="240" w:lineRule="exact"/>
              <w:jc w:val="left"/>
              <w:rPr>
                <w:rFonts w:ascii="宋体" w:hAnsi="宋体" w:cs="宋体"/>
                <w:color w:val="000000"/>
                <w:sz w:val="18"/>
                <w:szCs w:val="18"/>
              </w:rPr>
            </w:pPr>
          </w:p>
        </w:tc>
        <w:tc>
          <w:tcPr>
            <w:tcW w:w="966" w:type="dxa"/>
            <w:tcBorders>
              <w:top w:val="single" w:color="000000" w:sz="4" w:space="0"/>
              <w:left w:val="single" w:color="000000" w:sz="4" w:space="0"/>
              <w:bottom w:val="single" w:color="000000" w:sz="4" w:space="0"/>
              <w:right w:val="single" w:color="000000" w:sz="4" w:space="0"/>
            </w:tcBorders>
            <w:vAlign w:val="center"/>
          </w:tcPr>
          <w:p w14:paraId="5EA035FC">
            <w:pPr>
              <w:widowControl/>
              <w:spacing w:line="240" w:lineRule="exact"/>
              <w:jc w:val="center"/>
              <w:textAlignment w:val="center"/>
              <w:rPr>
                <w:rFonts w:ascii="宋体" w:hAnsi="宋体" w:cs="宋体"/>
                <w:color w:val="000000"/>
                <w:sz w:val="18"/>
                <w:szCs w:val="18"/>
              </w:rPr>
            </w:pPr>
            <w:r>
              <w:rPr>
                <w:rFonts w:hint="eastAsia" w:ascii="宋体" w:hAnsi="宋体" w:cs="宋体"/>
                <w:color w:val="000000"/>
                <w:kern w:val="0"/>
                <w:sz w:val="18"/>
                <w:szCs w:val="18"/>
              </w:rPr>
              <w:t>其他行政权力</w:t>
            </w:r>
          </w:p>
        </w:tc>
        <w:tc>
          <w:tcPr>
            <w:tcW w:w="2869" w:type="dxa"/>
            <w:tcBorders>
              <w:top w:val="single" w:color="000000" w:sz="4" w:space="0"/>
              <w:left w:val="single" w:color="000000" w:sz="4" w:space="0"/>
              <w:bottom w:val="single" w:color="000000" w:sz="4" w:space="0"/>
              <w:right w:val="single" w:color="000000" w:sz="4" w:space="0"/>
            </w:tcBorders>
            <w:vAlign w:val="center"/>
          </w:tcPr>
          <w:p w14:paraId="174D92A7">
            <w:pPr>
              <w:widowControl/>
              <w:spacing w:line="240" w:lineRule="exact"/>
              <w:jc w:val="left"/>
              <w:textAlignment w:val="center"/>
              <w:rPr>
                <w:rFonts w:ascii="宋体" w:hAnsi="宋体" w:cs="宋体"/>
                <w:color w:val="000000"/>
                <w:sz w:val="18"/>
                <w:szCs w:val="18"/>
              </w:rPr>
            </w:pPr>
            <w:r>
              <w:rPr>
                <w:rFonts w:hint="eastAsia" w:ascii="宋体" w:hAnsi="宋体" w:cs="宋体"/>
                <w:color w:val="000000"/>
                <w:kern w:val="0"/>
                <w:sz w:val="18"/>
                <w:szCs w:val="18"/>
              </w:rPr>
              <w:t>【规章】《建筑起重机械安全监督管理规定》（2008年1月28日建设部令第166号）第五条 出租单位在建筑起重机械首次出租前，自购建筑起重机械的使用单位在建筑起重机械首次安装前，应当持建筑起重机械特种设备制造许可证、产品合格证和制造监督检验证明到本单位工商注册所在地县级以上地方人民政府建设主管部门办理备案。</w:t>
            </w:r>
          </w:p>
        </w:tc>
        <w:tc>
          <w:tcPr>
            <w:tcW w:w="927" w:type="dxa"/>
            <w:tcBorders>
              <w:top w:val="single" w:color="000000" w:sz="4" w:space="0"/>
              <w:left w:val="single" w:color="000000" w:sz="4" w:space="0"/>
              <w:bottom w:val="single" w:color="000000" w:sz="4" w:space="0"/>
              <w:right w:val="single" w:color="000000" w:sz="4" w:space="0"/>
            </w:tcBorders>
            <w:vAlign w:val="center"/>
          </w:tcPr>
          <w:p w14:paraId="43E78F85">
            <w:pPr>
              <w:widowControl/>
              <w:spacing w:line="240" w:lineRule="exact"/>
              <w:jc w:val="center"/>
              <w:textAlignment w:val="center"/>
              <w:rPr>
                <w:rFonts w:ascii="宋体" w:hAnsi="宋体" w:cs="宋体"/>
                <w:color w:val="000000"/>
                <w:sz w:val="18"/>
                <w:szCs w:val="18"/>
              </w:rPr>
            </w:pPr>
            <w:r>
              <w:rPr>
                <w:rFonts w:hint="eastAsia" w:ascii="宋体" w:hAnsi="宋体" w:cs="宋体"/>
                <w:color w:val="000000"/>
                <w:kern w:val="0"/>
                <w:sz w:val="18"/>
                <w:szCs w:val="18"/>
              </w:rPr>
              <w:t>县住建局</w:t>
            </w:r>
          </w:p>
        </w:tc>
        <w:tc>
          <w:tcPr>
            <w:tcW w:w="924" w:type="dxa"/>
            <w:tcBorders>
              <w:top w:val="single" w:color="000000" w:sz="4" w:space="0"/>
              <w:left w:val="single" w:color="000000" w:sz="4" w:space="0"/>
              <w:bottom w:val="single" w:color="000000" w:sz="4" w:space="0"/>
              <w:right w:val="single" w:color="000000" w:sz="4" w:space="0"/>
            </w:tcBorders>
            <w:vAlign w:val="center"/>
          </w:tcPr>
          <w:p w14:paraId="49D06A9E">
            <w:pPr>
              <w:widowControl/>
              <w:spacing w:line="240" w:lineRule="exact"/>
              <w:jc w:val="left"/>
              <w:textAlignment w:val="center"/>
              <w:rPr>
                <w:rFonts w:ascii="宋体" w:hAnsi="宋体" w:cs="宋体"/>
                <w:color w:val="000000"/>
                <w:sz w:val="18"/>
                <w:szCs w:val="18"/>
              </w:rPr>
            </w:pPr>
            <w:r>
              <w:rPr>
                <w:rFonts w:hint="eastAsia" w:ascii="宋体" w:hAnsi="宋体" w:cs="宋体"/>
                <w:color w:val="000000"/>
                <w:kern w:val="0"/>
                <w:sz w:val="18"/>
                <w:szCs w:val="18"/>
              </w:rPr>
              <w:t>将已承接的权限上交至市住建局行使。</w:t>
            </w:r>
          </w:p>
        </w:tc>
        <w:tc>
          <w:tcPr>
            <w:tcW w:w="1020" w:type="dxa"/>
            <w:tcBorders>
              <w:top w:val="single" w:color="000000" w:sz="4" w:space="0"/>
              <w:left w:val="single" w:color="000000" w:sz="4" w:space="0"/>
              <w:bottom w:val="single" w:color="000000" w:sz="4" w:space="0"/>
              <w:right w:val="single" w:color="000000" w:sz="4" w:space="0"/>
            </w:tcBorders>
            <w:vAlign w:val="center"/>
          </w:tcPr>
          <w:p w14:paraId="4C0F276A">
            <w:pPr>
              <w:spacing w:line="240" w:lineRule="exact"/>
              <w:jc w:val="left"/>
              <w:rPr>
                <w:rFonts w:ascii="宋体" w:hAnsi="宋体" w:cs="宋体"/>
                <w:color w:val="000000"/>
                <w:sz w:val="18"/>
                <w:szCs w:val="18"/>
              </w:rPr>
            </w:pPr>
          </w:p>
        </w:tc>
        <w:tc>
          <w:tcPr>
            <w:tcW w:w="597" w:type="dxa"/>
            <w:gridSpan w:val="2"/>
            <w:tcBorders>
              <w:top w:val="single" w:color="000000" w:sz="4" w:space="0"/>
              <w:left w:val="single" w:color="000000" w:sz="4" w:space="0"/>
              <w:bottom w:val="single" w:color="000000" w:sz="4" w:space="0"/>
              <w:right w:val="single" w:color="000000" w:sz="4" w:space="0"/>
            </w:tcBorders>
            <w:vAlign w:val="center"/>
          </w:tcPr>
          <w:p w14:paraId="7F9BC7F7">
            <w:pPr>
              <w:spacing w:line="240" w:lineRule="exact"/>
              <w:jc w:val="left"/>
              <w:rPr>
                <w:rFonts w:ascii="宋体" w:hAnsi="宋体" w:cs="宋体"/>
                <w:color w:val="FF0000"/>
                <w:sz w:val="18"/>
                <w:szCs w:val="18"/>
              </w:rPr>
            </w:pPr>
          </w:p>
        </w:tc>
      </w:tr>
      <w:tr w14:paraId="7B922AE9">
        <w:tblPrEx>
          <w:tblCellMar>
            <w:top w:w="0" w:type="dxa"/>
            <w:left w:w="108" w:type="dxa"/>
            <w:bottom w:w="0" w:type="dxa"/>
            <w:right w:w="108" w:type="dxa"/>
          </w:tblCellMar>
        </w:tblPrEx>
        <w:trPr>
          <w:trHeight w:val="702" w:hRule="atLeast"/>
          <w:jc w:val="center"/>
        </w:trPr>
        <w:tc>
          <w:tcPr>
            <w:tcW w:w="758" w:type="dxa"/>
            <w:tcBorders>
              <w:top w:val="single" w:color="000000" w:sz="4" w:space="0"/>
              <w:left w:val="single" w:color="000000" w:sz="4" w:space="0"/>
              <w:bottom w:val="single" w:color="000000" w:sz="4" w:space="0"/>
              <w:right w:val="single" w:color="000000" w:sz="4" w:space="0"/>
            </w:tcBorders>
            <w:vAlign w:val="center"/>
          </w:tcPr>
          <w:p w14:paraId="5645C271">
            <w:pPr>
              <w:widowControl/>
              <w:spacing w:line="240" w:lineRule="exact"/>
              <w:jc w:val="center"/>
              <w:textAlignment w:val="center"/>
              <w:rPr>
                <w:rFonts w:ascii="宋体" w:hAnsi="宋体" w:cs="宋体"/>
                <w:color w:val="000000"/>
                <w:sz w:val="18"/>
                <w:szCs w:val="18"/>
              </w:rPr>
            </w:pPr>
            <w:r>
              <w:rPr>
                <w:rFonts w:hint="eastAsia" w:ascii="宋体" w:hAnsi="宋体" w:cs="宋体"/>
                <w:color w:val="000000"/>
                <w:kern w:val="0"/>
                <w:sz w:val="18"/>
                <w:szCs w:val="18"/>
              </w:rPr>
              <w:t>24</w:t>
            </w:r>
          </w:p>
        </w:tc>
        <w:tc>
          <w:tcPr>
            <w:tcW w:w="1147" w:type="dxa"/>
            <w:tcBorders>
              <w:top w:val="single" w:color="000000" w:sz="4" w:space="0"/>
              <w:left w:val="single" w:color="000000" w:sz="4" w:space="0"/>
              <w:bottom w:val="single" w:color="000000" w:sz="4" w:space="0"/>
              <w:right w:val="single" w:color="000000" w:sz="4" w:space="0"/>
            </w:tcBorders>
            <w:vAlign w:val="center"/>
          </w:tcPr>
          <w:p w14:paraId="58D6F20E">
            <w:pPr>
              <w:widowControl/>
              <w:spacing w:line="240" w:lineRule="exact"/>
              <w:jc w:val="left"/>
              <w:textAlignment w:val="center"/>
              <w:rPr>
                <w:rFonts w:ascii="宋体" w:hAnsi="宋体" w:cs="宋体"/>
                <w:color w:val="000000"/>
                <w:sz w:val="18"/>
                <w:szCs w:val="18"/>
              </w:rPr>
            </w:pPr>
            <w:r>
              <w:rPr>
                <w:rFonts w:hint="eastAsia" w:ascii="宋体" w:hAnsi="宋体" w:cs="宋体"/>
                <w:color w:val="000000"/>
                <w:kern w:val="0"/>
                <w:sz w:val="18"/>
                <w:szCs w:val="18"/>
              </w:rPr>
              <w:t>燃气项目审批</w:t>
            </w:r>
          </w:p>
        </w:tc>
        <w:tc>
          <w:tcPr>
            <w:tcW w:w="998" w:type="dxa"/>
            <w:tcBorders>
              <w:top w:val="single" w:color="000000" w:sz="4" w:space="0"/>
              <w:left w:val="single" w:color="000000" w:sz="4" w:space="0"/>
              <w:bottom w:val="single" w:color="000000" w:sz="4" w:space="0"/>
              <w:right w:val="single" w:color="000000" w:sz="4" w:space="0"/>
            </w:tcBorders>
            <w:vAlign w:val="center"/>
          </w:tcPr>
          <w:p w14:paraId="00B2DF00">
            <w:pPr>
              <w:spacing w:line="240" w:lineRule="exact"/>
              <w:jc w:val="left"/>
              <w:rPr>
                <w:rFonts w:ascii="宋体" w:hAnsi="宋体" w:cs="宋体"/>
                <w:color w:val="000000"/>
                <w:sz w:val="18"/>
                <w:szCs w:val="18"/>
              </w:rPr>
            </w:pPr>
          </w:p>
        </w:tc>
        <w:tc>
          <w:tcPr>
            <w:tcW w:w="966" w:type="dxa"/>
            <w:tcBorders>
              <w:top w:val="single" w:color="000000" w:sz="4" w:space="0"/>
              <w:left w:val="single" w:color="000000" w:sz="4" w:space="0"/>
              <w:bottom w:val="single" w:color="000000" w:sz="4" w:space="0"/>
              <w:right w:val="single" w:color="000000" w:sz="4" w:space="0"/>
            </w:tcBorders>
            <w:vAlign w:val="center"/>
          </w:tcPr>
          <w:p w14:paraId="6B94C7DA">
            <w:pPr>
              <w:widowControl/>
              <w:spacing w:line="240" w:lineRule="exact"/>
              <w:jc w:val="center"/>
              <w:textAlignment w:val="center"/>
              <w:rPr>
                <w:rFonts w:ascii="宋体" w:hAnsi="宋体" w:cs="宋体"/>
                <w:color w:val="000000"/>
                <w:sz w:val="18"/>
                <w:szCs w:val="18"/>
              </w:rPr>
            </w:pPr>
            <w:r>
              <w:rPr>
                <w:rFonts w:hint="eastAsia" w:ascii="宋体" w:hAnsi="宋体" w:cs="宋体"/>
                <w:color w:val="000000"/>
                <w:kern w:val="0"/>
                <w:sz w:val="18"/>
                <w:szCs w:val="18"/>
              </w:rPr>
              <w:t>行政许可</w:t>
            </w:r>
          </w:p>
        </w:tc>
        <w:tc>
          <w:tcPr>
            <w:tcW w:w="2869" w:type="dxa"/>
            <w:tcBorders>
              <w:top w:val="single" w:color="000000" w:sz="4" w:space="0"/>
              <w:left w:val="single" w:color="000000" w:sz="4" w:space="0"/>
              <w:bottom w:val="single" w:color="000000" w:sz="4" w:space="0"/>
              <w:right w:val="single" w:color="000000" w:sz="4" w:space="0"/>
            </w:tcBorders>
            <w:vAlign w:val="center"/>
          </w:tcPr>
          <w:p w14:paraId="06D3F3A0">
            <w:pPr>
              <w:widowControl/>
              <w:spacing w:line="240" w:lineRule="exact"/>
              <w:jc w:val="left"/>
              <w:textAlignment w:val="center"/>
              <w:rPr>
                <w:rFonts w:hint="eastAsia" w:ascii="宋体" w:hAnsi="宋体" w:eastAsia="宋体" w:cs="宋体"/>
                <w:color w:val="000000"/>
                <w:kern w:val="0"/>
                <w:sz w:val="18"/>
                <w:szCs w:val="18"/>
                <w:lang w:eastAsia="zh-CN"/>
              </w:rPr>
            </w:pPr>
            <w:r>
              <w:rPr>
                <w:rFonts w:hint="eastAsia" w:ascii="宋体" w:hAnsi="宋体" w:cs="宋体"/>
                <w:color w:val="000000"/>
                <w:kern w:val="0"/>
                <w:sz w:val="18"/>
                <w:szCs w:val="18"/>
              </w:rPr>
              <w:t>【行政法规】《国务院对确需保留的行政审批项目设定行政许可的决定》（2004年6月29日国务院令第412号，2009年1月29日予以修改）第111项 城市新建燃气企业审批，实施机关为所在城市的市人民政府建设行政主管部门。</w:t>
            </w:r>
          </w:p>
          <w:p w14:paraId="028F1CE8">
            <w:pPr>
              <w:widowControl/>
              <w:spacing w:line="240" w:lineRule="exact"/>
              <w:jc w:val="left"/>
              <w:textAlignment w:val="center"/>
              <w:rPr>
                <w:rFonts w:hint="eastAsia" w:ascii="宋体" w:hAnsi="宋体" w:eastAsia="宋体" w:cs="宋体"/>
                <w:color w:val="000000"/>
                <w:kern w:val="0"/>
                <w:sz w:val="18"/>
                <w:szCs w:val="18"/>
                <w:lang w:eastAsia="zh-CN"/>
              </w:rPr>
            </w:pPr>
            <w:r>
              <w:rPr>
                <w:rFonts w:hint="eastAsia" w:ascii="宋体" w:hAnsi="宋体" w:cs="宋体"/>
                <w:color w:val="000000"/>
                <w:kern w:val="0"/>
                <w:sz w:val="18"/>
                <w:szCs w:val="18"/>
              </w:rPr>
              <w:t>【行政法规】《城镇燃气管理条例》（2010年10月19日国务院令第583号）第十一条第二款 对燃气发展规划范围内的燃气设施建设工程，城乡规划主管部门在依法核发选址意见书时，应当就燃气设施建设是否符合燃气发展规划征求燃气主管部门意见；不需要核发选址意见书的，城乡规划主管部门在依法核发建设用地规划许可证或者乡村建设规划许可证时，应当就燃气设施建设是否符合燃气发展规划征求燃气管理部门的意见。</w:t>
            </w:r>
          </w:p>
          <w:p w14:paraId="1053FD8C">
            <w:pPr>
              <w:widowControl/>
              <w:spacing w:line="240" w:lineRule="exact"/>
              <w:jc w:val="left"/>
              <w:textAlignment w:val="center"/>
              <w:rPr>
                <w:rFonts w:hint="eastAsia" w:ascii="宋体" w:hAnsi="宋体" w:eastAsia="宋体" w:cs="宋体"/>
                <w:color w:val="000000"/>
                <w:kern w:val="0"/>
                <w:sz w:val="18"/>
                <w:szCs w:val="18"/>
                <w:lang w:eastAsia="zh-CN"/>
              </w:rPr>
            </w:pPr>
            <w:r>
              <w:rPr>
                <w:rFonts w:hint="eastAsia" w:ascii="宋体" w:hAnsi="宋体" w:cs="宋体"/>
                <w:color w:val="000000"/>
                <w:kern w:val="0"/>
                <w:sz w:val="18"/>
                <w:szCs w:val="18"/>
              </w:rPr>
              <w:t>【地方性法规】《辽宁省民用液化石油气管理条例》（1998年7月30日辽宁省第九届人民代表大会常务委员会第四次会议通过，2010年5月28日辽宁省第十一届人民代表大会常务委员会第十七次会议修正）第八条 民用液化石油气建设项目（含居民区液化石油气管道供气项目）应当经市（不含县级市，下同）民用液化石油气行政主管部门审批后，方可到其他有关部门办理专项审批手续。其中新建民用液化石油气贮罐站建设项目经市级主管部门审批后报省住房和城乡建设部门备案。</w:t>
            </w:r>
          </w:p>
          <w:p w14:paraId="05BD0090">
            <w:pPr>
              <w:widowControl/>
              <w:spacing w:line="240" w:lineRule="exact"/>
              <w:jc w:val="left"/>
              <w:textAlignment w:val="center"/>
              <w:rPr>
                <w:rFonts w:ascii="宋体" w:hAnsi="宋体" w:cs="宋体"/>
                <w:color w:val="000000"/>
                <w:sz w:val="18"/>
                <w:szCs w:val="18"/>
              </w:rPr>
            </w:pPr>
            <w:r>
              <w:rPr>
                <w:rFonts w:hint="eastAsia" w:ascii="宋体" w:hAnsi="宋体" w:cs="宋体"/>
                <w:color w:val="000000"/>
                <w:kern w:val="0"/>
                <w:sz w:val="18"/>
                <w:szCs w:val="18"/>
              </w:rPr>
              <w:t>第十条 民用液化石油气工程的初步设计，应当由建设单位报市民用液化石油气行政主管部门审查批准；消防设计报市公安机关消防机构审查；防雷装置设计报市气象主管部门审核。</w:t>
            </w:r>
          </w:p>
        </w:tc>
        <w:tc>
          <w:tcPr>
            <w:tcW w:w="927" w:type="dxa"/>
            <w:tcBorders>
              <w:top w:val="single" w:color="000000" w:sz="4" w:space="0"/>
              <w:left w:val="single" w:color="000000" w:sz="4" w:space="0"/>
              <w:bottom w:val="single" w:color="000000" w:sz="4" w:space="0"/>
              <w:right w:val="single" w:color="000000" w:sz="4" w:space="0"/>
            </w:tcBorders>
            <w:vAlign w:val="center"/>
          </w:tcPr>
          <w:p w14:paraId="565C2362">
            <w:pPr>
              <w:widowControl/>
              <w:spacing w:line="240" w:lineRule="exact"/>
              <w:jc w:val="center"/>
              <w:textAlignment w:val="center"/>
              <w:rPr>
                <w:rFonts w:ascii="宋体" w:hAnsi="宋体" w:cs="宋体"/>
                <w:color w:val="000000"/>
                <w:sz w:val="18"/>
                <w:szCs w:val="18"/>
              </w:rPr>
            </w:pPr>
            <w:r>
              <w:rPr>
                <w:rFonts w:hint="eastAsia" w:ascii="宋体" w:hAnsi="宋体" w:cs="宋体"/>
                <w:color w:val="000000"/>
                <w:kern w:val="0"/>
                <w:sz w:val="18"/>
                <w:szCs w:val="18"/>
              </w:rPr>
              <w:t>县住建局</w:t>
            </w:r>
          </w:p>
        </w:tc>
        <w:tc>
          <w:tcPr>
            <w:tcW w:w="924" w:type="dxa"/>
            <w:tcBorders>
              <w:top w:val="single" w:color="000000" w:sz="4" w:space="0"/>
              <w:left w:val="single" w:color="000000" w:sz="4" w:space="0"/>
              <w:bottom w:val="single" w:color="000000" w:sz="4" w:space="0"/>
              <w:right w:val="single" w:color="000000" w:sz="4" w:space="0"/>
            </w:tcBorders>
            <w:vAlign w:val="center"/>
          </w:tcPr>
          <w:p w14:paraId="256CFCA5">
            <w:pPr>
              <w:widowControl/>
              <w:spacing w:line="240" w:lineRule="exact"/>
              <w:jc w:val="left"/>
              <w:textAlignment w:val="center"/>
              <w:rPr>
                <w:rFonts w:ascii="宋体" w:hAnsi="宋体" w:cs="宋体"/>
                <w:color w:val="000000"/>
                <w:sz w:val="18"/>
                <w:szCs w:val="18"/>
              </w:rPr>
            </w:pPr>
            <w:r>
              <w:rPr>
                <w:rFonts w:hint="eastAsia" w:ascii="宋体" w:hAnsi="宋体" w:cs="宋体"/>
                <w:color w:val="000000"/>
                <w:kern w:val="0"/>
                <w:sz w:val="18"/>
                <w:szCs w:val="18"/>
              </w:rPr>
              <w:t>将已承接的权限上交至市住建局行使。</w:t>
            </w:r>
          </w:p>
        </w:tc>
        <w:tc>
          <w:tcPr>
            <w:tcW w:w="1020" w:type="dxa"/>
            <w:tcBorders>
              <w:top w:val="single" w:color="000000" w:sz="4" w:space="0"/>
              <w:left w:val="single" w:color="000000" w:sz="4" w:space="0"/>
              <w:bottom w:val="single" w:color="000000" w:sz="4" w:space="0"/>
              <w:right w:val="single" w:color="000000" w:sz="4" w:space="0"/>
            </w:tcBorders>
            <w:vAlign w:val="center"/>
          </w:tcPr>
          <w:p w14:paraId="2C3911E8">
            <w:pPr>
              <w:spacing w:line="240" w:lineRule="exact"/>
              <w:jc w:val="left"/>
              <w:rPr>
                <w:rFonts w:ascii="宋体" w:hAnsi="宋体" w:cs="宋体"/>
                <w:color w:val="000000"/>
                <w:sz w:val="18"/>
                <w:szCs w:val="18"/>
              </w:rPr>
            </w:pPr>
          </w:p>
        </w:tc>
        <w:tc>
          <w:tcPr>
            <w:tcW w:w="597" w:type="dxa"/>
            <w:gridSpan w:val="2"/>
            <w:tcBorders>
              <w:top w:val="single" w:color="000000" w:sz="4" w:space="0"/>
              <w:left w:val="single" w:color="000000" w:sz="4" w:space="0"/>
              <w:bottom w:val="single" w:color="000000" w:sz="4" w:space="0"/>
              <w:right w:val="single" w:color="000000" w:sz="4" w:space="0"/>
            </w:tcBorders>
            <w:vAlign w:val="center"/>
          </w:tcPr>
          <w:p w14:paraId="39C11753">
            <w:pPr>
              <w:spacing w:line="240" w:lineRule="exact"/>
              <w:jc w:val="left"/>
              <w:rPr>
                <w:rFonts w:ascii="宋体" w:hAnsi="宋体" w:cs="宋体"/>
                <w:color w:val="FF0000"/>
                <w:sz w:val="18"/>
                <w:szCs w:val="18"/>
              </w:rPr>
            </w:pPr>
          </w:p>
        </w:tc>
      </w:tr>
    </w:tbl>
    <w:p w14:paraId="7D4299F2">
      <w:pPr>
        <w:spacing w:line="580" w:lineRule="exact"/>
        <w:rPr>
          <w:rFonts w:ascii="仿宋_GB2312" w:hAnsi="仿宋_GB2312" w:eastAsia="仿宋_GB2312" w:cs="仿宋_GB2312"/>
          <w:snapToGrid w:val="0"/>
          <w:kern w:val="0"/>
          <w:sz w:val="32"/>
          <w:szCs w:val="32"/>
        </w:rPr>
      </w:pPr>
    </w:p>
    <w:p w14:paraId="7DFAE07F">
      <w:pPr>
        <w:rPr>
          <w:szCs w:val="24"/>
        </w:rPr>
      </w:pPr>
    </w:p>
    <w:sectPr>
      <w:headerReference r:id="rId3" w:type="default"/>
      <w:footerReference r:id="rId4" w:type="default"/>
      <w:pgSz w:w="11906" w:h="16838"/>
      <w:pgMar w:top="1962" w:right="1474" w:bottom="1848" w:left="1587" w:header="851" w:footer="992" w:gutter="0"/>
      <w:pgNumType w:fmt="numberInDash"/>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altName w:val="宋体"/>
    <w:panose1 w:val="020B0604020202020204"/>
    <w:charset w:val="86"/>
    <w:family w:val="swiss"/>
    <w:pitch w:val="default"/>
    <w:sig w:usb0="00000000" w:usb1="00000000" w:usb2="0000003F" w:usb3="00000000" w:csb0="603F01FF" w:csb1="FFFF0000"/>
  </w:font>
  <w:font w:name="方正书宋_GBK">
    <w:altName w:val="微软雅黑"/>
    <w:panose1 w:val="00000000000000000000"/>
    <w:charset w:val="86"/>
    <w:family w:val="auto"/>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方正小标宋简体">
    <w:altName w:val="黑体"/>
    <w:panose1 w:val="02000000000000000000"/>
    <w:charset w:val="86"/>
    <w:family w:val="script"/>
    <w:pitch w:val="default"/>
    <w:sig w:usb0="00000000" w:usb1="00000000" w:usb2="00000012" w:usb3="00000000" w:csb0="00040001"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C0F5CC">
    <w:pPr>
      <w:pStyle w:val="7"/>
      <w:ind w:left="4788" w:leftChars="2280" w:firstLine="6400" w:firstLineChars="2000"/>
      <w:rPr>
        <w:rFonts w:eastAsia="仿宋"/>
        <w:sz w:val="32"/>
        <w:szCs w:val="48"/>
      </w:rPr>
    </w:pPr>
    <w:r>
      <w:rPr>
        <w:sz w:val="32"/>
      </w:rPr>
      <w:pict>
        <v:shape id="_x0000_s1028" o:spid="_x0000_s1028" o:spt="202" type="#_x0000_t202" style="position:absolute;left:0pt;margin-top:0pt;height:144pt;width:144pt;mso-position-horizontal:outside;mso-position-horizontal-relative:margin;mso-wrap-style:none;z-index:251661312;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WFWiqIQIAADcEAAAOAAAAZHJz&#10;L2Uyb0RvYy54bWytU0uOEzEQ3SNxB8t70kkQoyhKZxRmFIQUMSMNiLXjttMt+SfbSXc4ANyAFRv2&#10;nCvn4NnpThCwQmzsKle5fu/V4rbTihyED401JZ2MxpQIw23VmF1JP7xfv5hREiIzFVPWiJIeRaC3&#10;y+fPFq2bi6mtraqEJwhiwrx1Ja1jdPOiCLwWmoWRdcLAKK3XLEL1u6LyrEV0rYrpeHxTtNZXzlsu&#10;QsDr/dlIlzm+lILHBymDiESVFLXFfPp8btNZLBdsvvPM1Q3vy2D/UIVmjUHSS6h7FhnZ++aPULrh&#10;3gYr44hbXVgpGy5yD+hmMv6tm6eaOZF7wXCCu4wp/L+w/N3h0ZOmKimAMkwDotPXL6dvP07fP5NZ&#10;Gk/rwhxeTw5+sXttu5JGvxeDKeA9Nd5Jr9ONlghcMOvjZb6ii4TjcTKbzmZjmDhsg4IUxfW78yG+&#10;EVaTJJTUA8A8V3bYhHh2HVxSNmPXjVIZRGVIW9Kbl6/G+cPFguDKJF+R6dCHSV2dS09S7LZd3+rW&#10;Vkd06u2ZKsHxdYNSNizER+bBDZQPvscHHFJZpLS9RElt/ae/vSd/QAYrJS24VlKDZaBEvTWAMtFy&#10;EPwgbAfB7PWdBXkn2CPHs4gPPqpBlN7qj1iCVcohmQoIzAxHNgA1iHcRWm/EMnGxWl30vfPNrr5+&#10;BjEdixvz5HgPdZpecKt9xLQzCGlm50EBvKSAnRnGfpMS/X/Vs9d135c/A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BYAAABkcnMvUEsBAhQA&#10;FAAAAAgAh07iQLNJWO7QAAAABQEAAA8AAAAAAAAAAQAgAAAAOAAAAGRycy9kb3ducmV2LnhtbFBL&#10;AQIUABQAAAAIAIdO4kBWFWiqIQIAADcEAAAOAAAAAAAAAAEAIAAAADUBAABkcnMvZTJvRG9jLnht&#10;bFBLBQYAAAAABgAGAFkBAADIBQAAAAA=&#10;">
          <v:path/>
          <v:fill on="f" focussize="0,0"/>
          <v:stroke on="f" weight="0.5pt" joinstyle="miter"/>
          <v:imagedata o:title=""/>
          <o:lock v:ext="edit"/>
          <v:textbox inset="0mm,0mm,0mm,0mm" style="mso-fit-shape-to-text:t;">
            <w:txbxContent>
              <w:p w14:paraId="5A7A3CE0">
                <w:pPr>
                  <w:pStyle w:val="6"/>
                </w:pP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rPr>
                  <w:t>- 2 -</w:t>
                </w:r>
                <w:r>
                  <w:rPr>
                    <w:rFonts w:hint="eastAsia" w:ascii="宋体" w:hAnsi="宋体" w:cs="宋体"/>
                    <w:sz w:val="28"/>
                    <w:szCs w:val="28"/>
                  </w:rPr>
                  <w:fldChar w:fldCharType="end"/>
                </w:r>
              </w:p>
            </w:txbxContent>
          </v:textbox>
        </v:shape>
      </w:pict>
    </w:r>
  </w:p>
  <w:p w14:paraId="255AAE33">
    <w:pPr>
      <w:pStyle w:val="7"/>
      <w:wordWrap w:val="0"/>
      <w:ind w:left="4788" w:leftChars="2280" w:firstLine="6400" w:firstLineChars="2000"/>
      <w:jc w:val="right"/>
      <w:rPr>
        <w:rFonts w:ascii="宋体" w:hAnsi="宋体" w:cs="宋体"/>
        <w:b/>
        <w:bCs/>
        <w:color w:val="005192"/>
        <w:sz w:val="28"/>
        <w:szCs w:val="44"/>
      </w:rPr>
    </w:pPr>
    <w:r>
      <w:rPr>
        <w:color w:val="FAFAFA"/>
        <w:sz w:val="32"/>
      </w:rPr>
      <w:pict>
        <v:line id="_x0000_s1027" o:spid="_x0000_s1027" o:spt="20" style="position:absolute;left:0pt;margin-left:0pt;margin-top:5.85pt;height:0.15pt;width:442.25pt;z-index:251660288;mso-width-relative:page;mso-height-relative:page;" stroked="t" coordsize="21600,21600" o:gfxdata="UEsFBgAAAAAAAAAAAAAAAAAAAAAAAFBLAwQKAAAAAACHTuJAAAAAAAAAAAAAAAAABAAAAGRycy9Q&#10;SwMEFAAAAAgAh07iQPOnpdHUAAAABgEAAA8AAABkcnMvZG93bnJldi54bWxNj81OwzAQhO9IvIO1&#10;lbhRO+EvSuNUIhIn4EALdzd246jx2rLdpLw9ywmOM7Oa+bbZXtzEZhPT6FFCsRbADPZejzhI+Ny/&#10;3FbAUlao1eTRSPg2Cbbt9VWjau0X/DDzLg+MSjDVSoLNOdScp94ap9LaB4OUHX10KpOMA9dRLVTu&#10;Jl4K8cidGpEWrAqms6Y/7c5OQvcays6+75dYPqe3Yb6bwvH0JeXNqhAbYNlc8t8x/OITOrTEdPBn&#10;1IlNEuiRTG7xBIzSqrp/AHYgoxTA24b/x29/AFBLAwQUAAAACACHTuJAQhCSaNMBAAB1AwAADgAA&#10;AGRycy9lMm9Eb2MueG1srVPNjtMwEL4j8Q6W7zRJpZTdqOketlouCCoBDzB1nMSS/+QxTfsSvAAS&#10;Nzhx5M7bsDwGYzeUBW4IHyYznvE3/sZf1jdHo9lBBlTOtrxalJxJK1yn7NDyN6/vnlxxhhFsB9pZ&#10;2fKTRH6zefxoPflGLt3odCcDIxCLzeRbPsbom6JAMUoDuHBeWkr2LhiIFIah6AJMhG50sSzLVTG5&#10;0PnghESk3e05yTcZv++liC/7HmVkuuV0t5htyHafbLFZQzME8KMS8zXgH25hQFlqeoHaQgT2Nqi/&#10;oIwSwaHr40I4U7i+V0JmDsSmKv9g82oELzMXGg76y5jw/8GKF4ddYKprec2ZBUNPdP/+y7d3H79/&#10;/UD2/vMnVqchTR4bqr21uzBH6HchMT72waQvcWHHPNjTZbDyGJmgzXpVreqn1EFQrrouM2Tx66wP&#10;GJ9JZ1hyWq6VTbShgcNzjNSPSn+WpG3r7pTW+em0ZVPLl7QSOpCCeg2RXOOJE9qBM9ADSVPEkCHR&#10;adWl4wkIw7C/1YEdIMmjrKvrZSJL7X4rS723gOO5LqfOwjEqknq1Mi2/KtOaT2ub0GXW38wgDfA8&#10;suTtXXfKkyxSRG+bm846TOJ5GJP/8G/Z/AB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WAAAAZHJzL1BLAQIUABQAAAAIAIdO4kDzp6XR1AAA&#10;AAYBAAAPAAAAAAAAAAEAIAAAADgAAABkcnMvZG93bnJldi54bWxQSwECFAAUAAAACACHTuJAQhCS&#10;aNMBAAB1AwAADgAAAAAAAAABACAAAAA5AQAAZHJzL2Uyb0RvYy54bWxQSwUGAAAAAAYABgBZAQAA&#10;fgUAAAAA&#10;">
          <v:path arrowok="t"/>
          <v:fill focussize="0,0"/>
          <v:stroke weight="1.75pt" color="#005192" joinstyle="miter"/>
          <v:imagedata o:title=""/>
          <o:lock v:ext="edit"/>
        </v:line>
      </w:pict>
    </w:r>
    <w:r>
      <w:rPr>
        <w:rFonts w:hint="eastAsia" w:eastAsia="仿宋"/>
        <w:color w:val="FAFAFA"/>
        <w:sz w:val="32"/>
        <w:szCs w:val="48"/>
      </w:rPr>
      <w:t>X</w:t>
    </w:r>
    <w:r>
      <w:rPr>
        <w:rFonts w:hint="eastAsia" w:ascii="宋体" w:hAnsi="宋体" w:cs="宋体"/>
        <w:b/>
        <w:bCs/>
        <w:color w:val="005192"/>
        <w:sz w:val="28"/>
        <w:szCs w:val="44"/>
      </w:rPr>
      <w:t xml:space="preserve">阜新蒙古族自治县人民政府发布     </w:t>
    </w:r>
  </w:p>
  <w:p w14:paraId="42B766A8">
    <w:pPr>
      <w:pStyle w:val="7"/>
      <w:wordWrap w:val="0"/>
      <w:ind w:left="4788" w:leftChars="2280" w:firstLine="5622" w:firstLineChars="2000"/>
      <w:jc w:val="right"/>
      <w:rPr>
        <w:rFonts w:ascii="宋体" w:hAnsi="宋体" w:cs="宋体"/>
        <w:b/>
        <w:bCs/>
        <w:color w:val="005192"/>
        <w:sz w:val="28"/>
        <w:szCs w:val="44"/>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3F7800">
    <w:pPr>
      <w:pStyle w:val="7"/>
      <w:textAlignment w:val="center"/>
      <w:rPr>
        <w:rFonts w:ascii="宋体" w:hAnsi="宋体" w:cs="宋体"/>
        <w:b/>
        <w:bCs/>
        <w:color w:val="005192"/>
        <w:sz w:val="32"/>
      </w:rPr>
    </w:pPr>
    <w:r>
      <w:rPr>
        <w:rFonts w:ascii="宋体" w:hAnsi="宋体" w:cs="宋体"/>
        <w:b/>
        <w:bCs/>
        <w:color w:val="005192"/>
        <w:sz w:val="32"/>
      </w:rPr>
      <w:pict>
        <v:line id="_x0000_s1026" o:spid="_x0000_s1026" o:spt="20" style="position:absolute;left:0pt;margin-left:-0.3pt;margin-top:54.35pt;height:0pt;width:442.55pt;z-index:251659264;mso-width-relative:page;mso-height-relative:page;" stroked="t" coordsize="21600,21600" o:gfxdata="UEsFBgAAAAAAAAAAAAAAAAAAAAAAAFBLAwQKAAAAAACHTuJAAAAAAAAAAAAAAAAABAAAAGRycy9Q&#10;SwMEFAAAAAgAh07iQNRHQNbVAAAACQEAAA8AAABkcnMvZG93bnJldi54bWxNj8FOwzAQRO9I/IO1&#10;SNxauwFKFOJUIhIn4EALdzd246jx2rLdpPw9i4REjzszmn1Tb85uZJOJafAoYbUUwAx2Xg/YS/jc&#10;vSxKYCkr1Gr0aCR8mwSb5vqqVpX2M36YaZt7RiWYKiXB5hwqzlNnjVNp6YNB8g4+OpXpjD3XUc1U&#10;7kZeCLHmTg1IH6wKprWmO25PTkL7GorWvu/mWDynt366G8Ph+CXl7c1KPAHL5pz/w/CLT+jQENPe&#10;n1AnNkpYrClIsigfgZFflvcPwPZ/Cm9qfrmg+QFQSwMEFAAAAAgAh07iQNqbbOfcAQAAfQMAAA4A&#10;AABkcnMvZTJvRG9jLnhtbK1TzY7TMBC+I/EOlu80abct3ajpHrZaLggqAQ8wdZzEkv/kMU37ErwA&#10;Ejc4ceTO2+zyGIzd7LLADeHDZMYz/sbf+Mv66mg0O8iAytmaTyclZ9IK1yjb1fzd25tnK84wgm1A&#10;OytrfpLIrzZPn6wHX8mZ651uZGAEYrEafM37GH1VFCh6aQAnzktLydYFA5HC0BVNgIHQjS5mZbks&#10;BhcaH5yQiLS7PSf5JuO3rRTxdduijEzXnO4Wsw3Z7pMtNmuougC+V2K8BvzDLQwoS00foLYQgb0P&#10;6i8oo0Rw6No4Ec4Urm2VkJkDsZmWf7B504OXmQsNB/3DmPD/wYpXh11gqqn5nDMLhp7o7uO32w+f&#10;f3z/RPbu6xc2T0MaPFZUe213YYzQ70JifGyDSV/iwo4EM724WC1o1Kear5bz1fNxxvIYmaD8Yjkr&#10;qYAzQQU5V/zC8AHjC+kMS07NtbKJPlRweImR+lLpfUnatu5GaZ2fUFs21HxGK0EDKanVEMk1nrih&#10;7TgD3ZFERQwZEp1WTTqegDB0+2sd2AGSTMrF9HKWSFO738pS7y1gf67LqbOAjIqkYq0McS7TGk9r&#10;m9Bl1uHIIA3yPLrk7V1zyhMtUkRvnJuOekwiehyT//iv2fwE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FgAAAGRycy9QSwECFAAUAAAACACH&#10;TuJA1EdA1tUAAAAJAQAADwAAAAAAAAABACAAAAA4AAAAZHJzL2Rvd25yZXYueG1sUEsBAhQAFAAA&#10;AAgAh07iQNqbbOfcAQAAfQMAAA4AAAAAAAAAAQAgAAAAOgEAAGRycy9lMm9Eb2MueG1sUEsFBgAA&#10;AAAGAAYAWQEAAIgFAAAAAA==&#10;">
          <v:path arrowok="t"/>
          <v:fill focussize="0,0"/>
          <v:stroke weight="1.75pt" color="#005192" joinstyle="miter"/>
          <v:imagedata o:title=""/>
          <o:lock v:ext="edit"/>
        </v:line>
      </w:pict>
    </w:r>
  </w:p>
  <w:p w14:paraId="45A5DEED">
    <w:pPr>
      <w:pStyle w:val="7"/>
      <w:textAlignment w:val="center"/>
      <w:rPr>
        <w:rFonts w:ascii="宋体" w:hAnsi="宋体" w:cs="宋体"/>
        <w:b/>
        <w:bCs/>
        <w:color w:val="005192"/>
        <w:sz w:val="32"/>
        <w:szCs w:val="32"/>
      </w:rPr>
    </w:pPr>
    <w:r>
      <w:rPr>
        <w:rFonts w:hint="eastAsia" w:ascii="宋体" w:hAnsi="宋体" w:cs="宋体"/>
        <w:b/>
        <w:bCs/>
        <w:color w:val="005192"/>
        <w:sz w:val="32"/>
      </w:rPr>
      <w:drawing>
        <wp:inline distT="0" distB="0" distL="114300" distR="114300">
          <wp:extent cx="308610" cy="308610"/>
          <wp:effectExtent l="0" t="0" r="11430" b="11430"/>
          <wp:docPr id="6" name="图片 6"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r>
      <w:rPr>
        <w:rFonts w:hint="eastAsia" w:ascii="宋体" w:hAnsi="宋体" w:cs="宋体"/>
        <w:b/>
        <w:bCs/>
        <w:color w:val="005192"/>
        <w:sz w:val="32"/>
      </w:rPr>
      <w:t>阜新蒙古族自治县人民政府</w:t>
    </w:r>
    <w:r>
      <w:rPr>
        <w:rFonts w:hint="eastAsia" w:ascii="宋体" w:hAnsi="宋体" w:cs="宋体"/>
        <w:b/>
        <w:bCs/>
        <w:color w:val="005192"/>
        <w:sz w:val="32"/>
        <w:szCs w:val="32"/>
      </w:rPr>
      <w:t>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documentProtection w:enforcement="0"/>
  <w:defaultTabStop w:val="420"/>
  <w:drawingGridVerticalSpacing w:val="156"/>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ZGNjM2M2OWQxODJmMGM2NDE0M2RmZTk3Yjc3YmZiNTAifQ=="/>
  </w:docVars>
  <w:rsids>
    <w:rsidRoot w:val="00172A27"/>
    <w:rsid w:val="00147FAF"/>
    <w:rsid w:val="00172A27"/>
    <w:rsid w:val="00250E25"/>
    <w:rsid w:val="002752E8"/>
    <w:rsid w:val="00296726"/>
    <w:rsid w:val="003764A5"/>
    <w:rsid w:val="003E768B"/>
    <w:rsid w:val="004229DB"/>
    <w:rsid w:val="00465CB1"/>
    <w:rsid w:val="005B471A"/>
    <w:rsid w:val="00660B23"/>
    <w:rsid w:val="00911960"/>
    <w:rsid w:val="00A11211"/>
    <w:rsid w:val="00BC2647"/>
    <w:rsid w:val="019E71BD"/>
    <w:rsid w:val="04B679C3"/>
    <w:rsid w:val="07417A70"/>
    <w:rsid w:val="079A62A2"/>
    <w:rsid w:val="080F63D8"/>
    <w:rsid w:val="09341458"/>
    <w:rsid w:val="09EC0242"/>
    <w:rsid w:val="0ACB2D46"/>
    <w:rsid w:val="0B0912D7"/>
    <w:rsid w:val="0EFE284D"/>
    <w:rsid w:val="14D64035"/>
    <w:rsid w:val="152D2DCA"/>
    <w:rsid w:val="1DEC284C"/>
    <w:rsid w:val="1E6523AC"/>
    <w:rsid w:val="22440422"/>
    <w:rsid w:val="24D75076"/>
    <w:rsid w:val="2DCF27A6"/>
    <w:rsid w:val="2FED03AA"/>
    <w:rsid w:val="31A15F24"/>
    <w:rsid w:val="395347B5"/>
    <w:rsid w:val="39A232A0"/>
    <w:rsid w:val="39E745AA"/>
    <w:rsid w:val="3B5A6BBB"/>
    <w:rsid w:val="3D75FA38"/>
    <w:rsid w:val="3EDA13A6"/>
    <w:rsid w:val="3FA87C99"/>
    <w:rsid w:val="3FADDA6C"/>
    <w:rsid w:val="42F058B7"/>
    <w:rsid w:val="436109F6"/>
    <w:rsid w:val="43FF7A23"/>
    <w:rsid w:val="441A38D4"/>
    <w:rsid w:val="4BC77339"/>
    <w:rsid w:val="4C9236C5"/>
    <w:rsid w:val="505C172E"/>
    <w:rsid w:val="52F46F0B"/>
    <w:rsid w:val="53D8014D"/>
    <w:rsid w:val="55E064E0"/>
    <w:rsid w:val="572C6D10"/>
    <w:rsid w:val="57FFF409"/>
    <w:rsid w:val="5DBEC2CD"/>
    <w:rsid w:val="5DC34279"/>
    <w:rsid w:val="5F64C400"/>
    <w:rsid w:val="5FFCA295"/>
    <w:rsid w:val="608816D1"/>
    <w:rsid w:val="60EF4E7F"/>
    <w:rsid w:val="665233C1"/>
    <w:rsid w:val="67F1149D"/>
    <w:rsid w:val="6AD9688B"/>
    <w:rsid w:val="6B7D769A"/>
    <w:rsid w:val="6D0E3F22"/>
    <w:rsid w:val="6DBD1CB7"/>
    <w:rsid w:val="6EF2B810"/>
    <w:rsid w:val="77D3E4EE"/>
    <w:rsid w:val="79FFFB28"/>
    <w:rsid w:val="7C9011D9"/>
    <w:rsid w:val="7DC651C5"/>
    <w:rsid w:val="7FCC2834"/>
    <w:rsid w:val="7FE2B49B"/>
    <w:rsid w:val="93FDA978"/>
    <w:rsid w:val="A6E9F368"/>
    <w:rsid w:val="ADAC2FA9"/>
    <w:rsid w:val="AF5B12FC"/>
    <w:rsid w:val="B1DF2C2C"/>
    <w:rsid w:val="BF3F56FB"/>
    <w:rsid w:val="BF7F7A02"/>
    <w:rsid w:val="C9FB471B"/>
    <w:rsid w:val="D59CE5D6"/>
    <w:rsid w:val="E6B7E280"/>
    <w:rsid w:val="E7FF4908"/>
    <w:rsid w:val="EF5ECE3B"/>
    <w:rsid w:val="EFFFB37F"/>
    <w:rsid w:val="F76CEFF0"/>
    <w:rsid w:val="F7BD57F4"/>
    <w:rsid w:val="F96F255F"/>
    <w:rsid w:val="F9BD496A"/>
    <w:rsid w:val="FBDE879B"/>
    <w:rsid w:val="FFBFA870"/>
    <w:rsid w:val="FFD58A06"/>
    <w:rsid w:val="FFFB9BB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ody Text"/>
    <w:basedOn w:val="1"/>
    <w:qFormat/>
    <w:uiPriority w:val="0"/>
    <w:pPr>
      <w:ind w:left="759"/>
    </w:pPr>
    <w:rPr>
      <w:rFonts w:ascii="Arial Unicode MS" w:hAnsi="Arial Unicode MS" w:eastAsia="Arial Unicode MS"/>
      <w:sz w:val="32"/>
      <w:szCs w:val="32"/>
    </w:rPr>
  </w:style>
  <w:style w:type="paragraph" w:styleId="4">
    <w:name w:val="Plain Text"/>
    <w:basedOn w:val="1"/>
    <w:unhideWhenUsed/>
    <w:qFormat/>
    <w:uiPriority w:val="99"/>
    <w:rPr>
      <w:rFonts w:ascii="宋体" w:hAnsi="Courier New" w:cs="Courier New"/>
      <w:szCs w:val="21"/>
    </w:rPr>
  </w:style>
  <w:style w:type="paragraph" w:styleId="5">
    <w:name w:val="Balloon Text"/>
    <w:basedOn w:val="1"/>
    <w:link w:val="15"/>
    <w:qFormat/>
    <w:uiPriority w:val="0"/>
    <w:rPr>
      <w:sz w:val="18"/>
      <w:szCs w:val="18"/>
    </w:rPr>
  </w:style>
  <w:style w:type="paragraph" w:styleId="6">
    <w:name w:val="footer"/>
    <w:basedOn w:val="1"/>
    <w:link w:val="18"/>
    <w:qFormat/>
    <w:uiPriority w:val="99"/>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8">
    <w:name w:val="Normal (Web)"/>
    <w:basedOn w:val="1"/>
    <w:link w:val="16"/>
    <w:qFormat/>
    <w:uiPriority w:val="0"/>
    <w:pPr>
      <w:spacing w:before="75" w:after="75"/>
      <w:jc w:val="left"/>
    </w:pPr>
    <w:rPr>
      <w:kern w:val="0"/>
      <w:sz w:val="24"/>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2">
    <w:name w:val="Strong"/>
    <w:basedOn w:val="11"/>
    <w:qFormat/>
    <w:uiPriority w:val="0"/>
    <w:rPr>
      <w:b/>
      <w:bCs/>
    </w:rPr>
  </w:style>
  <w:style w:type="character" w:styleId="13">
    <w:name w:val="page number"/>
    <w:basedOn w:val="11"/>
    <w:qFormat/>
    <w:uiPriority w:val="0"/>
  </w:style>
  <w:style w:type="character" w:styleId="14">
    <w:name w:val="Hyperlink"/>
    <w:basedOn w:val="11"/>
    <w:qFormat/>
    <w:uiPriority w:val="0"/>
    <w:rPr>
      <w:color w:val="0000FF"/>
      <w:u w:val="single"/>
    </w:rPr>
  </w:style>
  <w:style w:type="character" w:customStyle="1" w:styleId="15">
    <w:name w:val="批注框文本 Char"/>
    <w:basedOn w:val="11"/>
    <w:link w:val="5"/>
    <w:qFormat/>
    <w:uiPriority w:val="0"/>
    <w:rPr>
      <w:rFonts w:asciiTheme="minorHAnsi" w:hAnsiTheme="minorHAnsi" w:eastAsiaTheme="minorEastAsia" w:cstheme="minorBidi"/>
      <w:kern w:val="2"/>
      <w:sz w:val="18"/>
      <w:szCs w:val="18"/>
    </w:rPr>
  </w:style>
  <w:style w:type="character" w:customStyle="1" w:styleId="16">
    <w:name w:val="普通(网站) Char"/>
    <w:link w:val="8"/>
    <w:qFormat/>
    <w:uiPriority w:val="0"/>
    <w:rPr>
      <w:rFonts w:cs="Times New Roman"/>
      <w:kern w:val="0"/>
      <w:sz w:val="24"/>
    </w:rPr>
  </w:style>
  <w:style w:type="paragraph" w:customStyle="1" w:styleId="17">
    <w:name w:val="Heading 11"/>
    <w:basedOn w:val="1"/>
    <w:qFormat/>
    <w:uiPriority w:val="0"/>
    <w:pPr>
      <w:ind w:left="1487"/>
      <w:outlineLvl w:val="1"/>
    </w:pPr>
    <w:rPr>
      <w:rFonts w:ascii="Arial Unicode MS" w:hAnsi="Arial Unicode MS" w:cs="Arial Unicode MS"/>
      <w:sz w:val="44"/>
      <w:szCs w:val="44"/>
    </w:rPr>
  </w:style>
  <w:style w:type="character" w:customStyle="1" w:styleId="18">
    <w:name w:val="页脚 Char"/>
    <w:link w:val="6"/>
    <w:qFormat/>
    <w:uiPriority w:val="99"/>
    <w:rPr>
      <w:rFonts w:ascii="Calibri" w:hAnsi="Calibri"/>
      <w:kern w:val="2"/>
      <w:sz w:val="18"/>
      <w:szCs w:val="22"/>
    </w:rPr>
  </w:style>
  <w:style w:type="character" w:customStyle="1" w:styleId="19">
    <w:name w:val="font91"/>
    <w:basedOn w:val="11"/>
    <w:qFormat/>
    <w:uiPriority w:val="0"/>
    <w:rPr>
      <w:rFonts w:hint="eastAsia" w:ascii="宋体" w:hAnsi="宋体" w:eastAsia="宋体" w:cs="宋体"/>
      <w:color w:val="000000"/>
      <w:sz w:val="20"/>
      <w:szCs w:val="20"/>
      <w:u w:val="none"/>
    </w:rPr>
  </w:style>
  <w:style w:type="character" w:customStyle="1" w:styleId="20">
    <w:name w:val="font31"/>
    <w:basedOn w:val="11"/>
    <w:qFormat/>
    <w:uiPriority w:val="0"/>
    <w:rPr>
      <w:rFonts w:ascii="方正书宋_GBK" w:hAnsi="方正书宋_GBK" w:eastAsia="方正书宋_GBK" w:cs="方正书宋_GBK"/>
      <w:color w:val="000000"/>
      <w:sz w:val="20"/>
      <w:szCs w:val="20"/>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Info spid="_x0000_s1028"/>
    <customShpInfo spid="_x0000_s1027"/>
    <customShpInfo spid="_x0000_s205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Micorosoft</Company>
  <Pages>30</Pages>
  <Words>1806</Words>
  <Characters>1860</Characters>
  <Lines>152</Lines>
  <Paragraphs>43</Paragraphs>
  <TotalTime>8</TotalTime>
  <ScaleCrop>false</ScaleCrop>
  <LinksUpToDate>false</LinksUpToDate>
  <CharactersWithSpaces>1901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2023-01-10T06:11:00Z</dcterms:created>
  <dc:creator>t</dc:creator>
  <cp:lastModifiedBy>勇敢的心</cp:lastModifiedBy>
  <cp:lastPrinted>2021-11-05T11:30:00Z</cp:lastPrinted>
  <dcterms:modified xsi:type="dcterms:W3CDTF">2026-09-02T07:03:12Z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48C61CB29D3F4D9384F5922CF0F7FFB4</vt:lpwstr>
  </property>
  <property fmtid="{D5CDD505-2E9C-101B-9397-08002B2CF9AE}" pid="4" name="KSOTemplateDocerSaveRecord">
    <vt:lpwstr>eyJoZGlkIjoiZjBiZWMxNDFiNGFiNzljNDQ4MGRlMjViNGVhN2E1MGUiLCJ1c2VySWQiOiI1MTE4ODgxMjAifQ==</vt:lpwstr>
  </property>
</Properties>
</file>